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6C2281AA"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8B5F84">
            <w:rPr>
              <w:rFonts w:ascii="Arial" w:hAnsi="Arial" w:cs="Arial"/>
              <w:b/>
              <w:sz w:val="24"/>
            </w:rPr>
            <w:t>#92bis</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043F5">
        <w:rPr>
          <w:rFonts w:ascii="Arial" w:hAnsi="Arial" w:cs="Arial"/>
          <w:b/>
          <w:sz w:val="24"/>
        </w:rPr>
        <w:tab/>
      </w:r>
      <w:r w:rsidR="007043F5">
        <w:rPr>
          <w:rFonts w:ascii="Arial" w:hAnsi="Arial" w:cs="Arial"/>
          <w:b/>
          <w:sz w:val="24"/>
        </w:rPr>
        <w:tab/>
      </w:r>
      <w:r w:rsidR="00580648">
        <w:rPr>
          <w:rFonts w:ascii="Arial" w:hAnsi="Arial" w:cs="Arial"/>
          <w:b/>
          <w:sz w:val="24"/>
        </w:rPr>
        <w:tab/>
      </w:r>
      <w:r w:rsidR="00580648">
        <w:rPr>
          <w:rFonts w:ascii="Arial" w:hAnsi="Arial" w:cs="Arial"/>
          <w:b/>
          <w:sz w:val="24"/>
        </w:rPr>
        <w:tab/>
      </w:r>
      <w:r w:rsidR="00580648">
        <w:rPr>
          <w:rFonts w:ascii="Arial" w:hAnsi="Arial" w:cs="Arial"/>
          <w:b/>
          <w:sz w:val="24"/>
        </w:rPr>
        <w:tab/>
      </w:r>
      <w:r w:rsidR="00580648">
        <w:rPr>
          <w:rFonts w:ascii="Arial" w:hAnsi="Arial" w:cs="Arial"/>
          <w:b/>
          <w:sz w:val="24"/>
        </w:rPr>
        <w:tab/>
      </w:r>
      <w:r w:rsidR="00155AC8">
        <w:rPr>
          <w:rFonts w:ascii="Arial" w:hAnsi="Arial" w:cs="Arial"/>
          <w:b/>
          <w:sz w:val="24"/>
        </w:rPr>
        <w:tab/>
      </w:r>
      <w:r w:rsidR="00155AC8">
        <w:rPr>
          <w:rFonts w:ascii="Arial" w:hAnsi="Arial" w:cs="Arial"/>
          <w:b/>
          <w:sz w:val="24"/>
        </w:rPr>
        <w:tab/>
      </w:r>
      <w:r w:rsidR="00155AC8">
        <w:rPr>
          <w:rFonts w:ascii="Arial" w:hAnsi="Arial" w:cs="Arial"/>
          <w:b/>
          <w:sz w:val="24"/>
        </w:rPr>
        <w:tab/>
      </w:r>
      <w:r w:rsidR="007043F5">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8B5F84">
            <w:rPr>
              <w:rFonts w:ascii="Arial" w:hAnsi="Arial" w:cs="Arial"/>
              <w:b/>
              <w:sz w:val="24"/>
            </w:rPr>
            <w:t>R1-180</w:t>
          </w:r>
          <w:r w:rsidR="00463E20">
            <w:rPr>
              <w:rFonts w:ascii="Arial" w:hAnsi="Arial" w:cs="Arial"/>
              <w:b/>
              <w:sz w:val="24"/>
            </w:rPr>
            <w:t>4682</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130542EB" w:rsidR="00425159" w:rsidRPr="00425159" w:rsidRDefault="008B5F84" w:rsidP="00425159">
          <w:pPr>
            <w:spacing w:after="0"/>
            <w:ind w:left="1988" w:hanging="1988"/>
            <w:jc w:val="both"/>
            <w:rPr>
              <w:rFonts w:ascii="Arial" w:hAnsi="Arial" w:cs="Arial"/>
              <w:b/>
              <w:sz w:val="24"/>
            </w:rPr>
          </w:pPr>
          <w:r>
            <w:rPr>
              <w:rFonts w:ascii="Arial" w:hAnsi="Arial" w:cs="Arial"/>
              <w:b/>
              <w:sz w:val="24"/>
            </w:rPr>
            <w:t>Sanya, China, April 16 - 20, 2018</w:t>
          </w:r>
        </w:p>
      </w:sdtContent>
    </w:sdt>
    <w:p w14:paraId="465E5A75" w14:textId="77777777" w:rsidR="005B7231" w:rsidRDefault="005B7231" w:rsidP="00425159">
      <w:pPr>
        <w:spacing w:after="0"/>
        <w:ind w:left="1988" w:hanging="1988"/>
        <w:jc w:val="both"/>
        <w:rPr>
          <w:rFonts w:ascii="Arial" w:hAnsi="Arial" w:cs="Arial"/>
          <w:b/>
          <w:sz w:val="24"/>
        </w:rPr>
      </w:pPr>
    </w:p>
    <w:p w14:paraId="2CC11F49"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07D9F2C3" w14:textId="659F9BB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8A78E8">
            <w:rPr>
              <w:rFonts w:ascii="Arial" w:hAnsi="Arial" w:cs="Arial"/>
              <w:b/>
              <w:sz w:val="24"/>
            </w:rPr>
            <w:t>Discussion on L1 Data Rate</w:t>
          </w:r>
        </w:sdtContent>
      </w:sdt>
    </w:p>
    <w:p w14:paraId="4F42E201" w14:textId="4C567A0C"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63E20">
        <w:rPr>
          <w:rFonts w:ascii="Arial" w:hAnsi="Arial" w:cs="Arial"/>
          <w:b/>
          <w:sz w:val="24"/>
        </w:rPr>
        <w:t>5</w:t>
      </w:r>
    </w:p>
    <w:p w14:paraId="53E51EEC"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17E0266B" w14:textId="77777777" w:rsidR="00EA6506" w:rsidRPr="009A37AC" w:rsidRDefault="00EA6506" w:rsidP="00EA6506">
      <w:pPr>
        <w:spacing w:after="0"/>
        <w:ind w:left="2388" w:hangingChars="995" w:hanging="2388"/>
        <w:jc w:val="both"/>
        <w:rPr>
          <w:sz w:val="24"/>
        </w:rPr>
      </w:pPr>
    </w:p>
    <w:p w14:paraId="0D2E92D1" w14:textId="77777777" w:rsidR="00C34C05" w:rsidRPr="007912CC" w:rsidRDefault="00FD6A3D" w:rsidP="00B33B14">
      <w:pPr>
        <w:pStyle w:val="Heading1"/>
        <w:numPr>
          <w:ilvl w:val="0"/>
          <w:numId w:val="2"/>
        </w:numPr>
        <w:ind w:left="360"/>
        <w:rPr>
          <w:rFonts w:cs="Arial"/>
          <w:sz w:val="32"/>
          <w:szCs w:val="32"/>
          <w:lang w:val="en-US"/>
        </w:rPr>
      </w:pPr>
      <w:r w:rsidRPr="007912CC">
        <w:rPr>
          <w:rFonts w:cs="Arial"/>
          <w:sz w:val="32"/>
          <w:szCs w:val="32"/>
          <w:lang w:val="en-US"/>
        </w:rPr>
        <w:t>Introduction</w:t>
      </w:r>
    </w:p>
    <w:p w14:paraId="2817CD86" w14:textId="6C6322F6" w:rsidR="00D830A1" w:rsidRDefault="00075340" w:rsidP="000D4DEB">
      <w:pPr>
        <w:pStyle w:val="BodyText"/>
        <w:spacing w:before="240"/>
        <w:ind w:firstLine="288"/>
        <w:jc w:val="left"/>
        <w:rPr>
          <w:rFonts w:ascii="Times New Roman" w:hAnsi="Times New Roman"/>
          <w:sz w:val="22"/>
          <w:szCs w:val="22"/>
          <w:lang w:val="en-GB" w:eastAsia="zh-CN"/>
        </w:rPr>
      </w:pPr>
      <w:r w:rsidRPr="000239D0">
        <w:rPr>
          <w:rFonts w:ascii="Times New Roman" w:hAnsi="Times New Roman"/>
          <w:sz w:val="22"/>
          <w:szCs w:val="22"/>
          <w:lang w:val="en-GB" w:eastAsia="zh-CN"/>
        </w:rPr>
        <w:t>In this contribution, we discuss</w:t>
      </w:r>
      <w:r w:rsidR="00C6436F">
        <w:rPr>
          <w:rFonts w:ascii="Times New Roman" w:hAnsi="Times New Roman"/>
          <w:sz w:val="22"/>
          <w:szCs w:val="22"/>
          <w:lang w:val="en-GB" w:eastAsia="zh-CN"/>
        </w:rPr>
        <w:t xml:space="preserve"> </w:t>
      </w:r>
      <w:r w:rsidR="00A211E7">
        <w:rPr>
          <w:rFonts w:ascii="Times New Roman" w:hAnsi="Times New Roman"/>
          <w:sz w:val="22"/>
          <w:szCs w:val="22"/>
          <w:lang w:val="en-GB" w:eastAsia="zh-CN"/>
        </w:rPr>
        <w:t>peak data rate calculation and related signalling for NR</w:t>
      </w:r>
      <w:r w:rsidR="00C6436F">
        <w:rPr>
          <w:rFonts w:ascii="Times New Roman" w:hAnsi="Times New Roman"/>
          <w:sz w:val="22"/>
          <w:szCs w:val="22"/>
          <w:lang w:val="en-GB" w:eastAsia="zh-CN"/>
        </w:rPr>
        <w:t>.</w:t>
      </w:r>
      <w:r w:rsidR="002C5EC5">
        <w:rPr>
          <w:rFonts w:ascii="Times New Roman" w:hAnsi="Times New Roman"/>
          <w:sz w:val="22"/>
          <w:szCs w:val="22"/>
          <w:lang w:val="en-GB" w:eastAsia="zh-CN"/>
        </w:rPr>
        <w:t xml:space="preserve"> The following formula for deriving the </w:t>
      </w:r>
      <w:r w:rsidR="00773E30">
        <w:rPr>
          <w:rFonts w:ascii="Times New Roman" w:hAnsi="Times New Roman"/>
          <w:sz w:val="22"/>
          <w:szCs w:val="22"/>
          <w:lang w:val="en-GB" w:eastAsia="zh-CN"/>
        </w:rPr>
        <w:t>approximate</w:t>
      </w:r>
      <w:r w:rsidR="002C5EC5">
        <w:rPr>
          <w:rFonts w:ascii="Times New Roman" w:hAnsi="Times New Roman"/>
          <w:sz w:val="22"/>
          <w:szCs w:val="22"/>
          <w:lang w:val="en-GB" w:eastAsia="zh-CN"/>
        </w:rPr>
        <w:t xml:space="preserve"> peak data rate for NR was agreed in </w:t>
      </w:r>
      <w:r w:rsidR="000C0622">
        <w:rPr>
          <w:rFonts w:ascii="Times New Roman" w:hAnsi="Times New Roman"/>
          <w:sz w:val="22"/>
          <w:szCs w:val="22"/>
          <w:lang w:val="en-GB" w:eastAsia="zh-CN"/>
        </w:rPr>
        <w:fldChar w:fldCharType="begin"/>
      </w:r>
      <w:r w:rsidR="000C0622">
        <w:rPr>
          <w:rFonts w:ascii="Times New Roman" w:hAnsi="Times New Roman"/>
          <w:sz w:val="22"/>
          <w:szCs w:val="22"/>
          <w:lang w:val="en-GB" w:eastAsia="zh-CN"/>
        </w:rPr>
        <w:instrText xml:space="preserve"> REF _Ref506488144 \r \h </w:instrText>
      </w:r>
      <w:r w:rsidR="000C0622">
        <w:rPr>
          <w:rFonts w:ascii="Times New Roman" w:hAnsi="Times New Roman"/>
          <w:sz w:val="22"/>
          <w:szCs w:val="22"/>
          <w:lang w:val="en-GB" w:eastAsia="zh-CN"/>
        </w:rPr>
      </w:r>
      <w:r w:rsidR="000C0622">
        <w:rPr>
          <w:rFonts w:ascii="Times New Roman" w:hAnsi="Times New Roman"/>
          <w:sz w:val="22"/>
          <w:szCs w:val="22"/>
          <w:lang w:val="en-GB" w:eastAsia="zh-CN"/>
        </w:rPr>
        <w:fldChar w:fldCharType="separate"/>
      </w:r>
      <w:r w:rsidR="000C0622">
        <w:rPr>
          <w:rFonts w:ascii="Times New Roman" w:hAnsi="Times New Roman"/>
          <w:sz w:val="22"/>
          <w:szCs w:val="22"/>
          <w:lang w:val="en-GB" w:eastAsia="zh-CN"/>
        </w:rPr>
        <w:t>[1]</w:t>
      </w:r>
      <w:r w:rsidR="000C0622">
        <w:rPr>
          <w:rFonts w:ascii="Times New Roman" w:hAnsi="Times New Roman"/>
          <w:sz w:val="22"/>
          <w:szCs w:val="22"/>
          <w:lang w:val="en-GB" w:eastAsia="zh-CN"/>
        </w:rPr>
        <w:fldChar w:fldCharType="end"/>
      </w:r>
      <w:r w:rsidR="000C0622">
        <w:rPr>
          <w:rFonts w:ascii="Times New Roman" w:hAnsi="Times New Roman"/>
          <w:sz w:val="22"/>
          <w:szCs w:val="22"/>
          <w:lang w:val="en-GB" w:eastAsia="zh-CN"/>
        </w:rPr>
        <w:t>.</w:t>
      </w:r>
    </w:p>
    <w:p w14:paraId="2E51F0E8" w14:textId="77777777" w:rsidR="000C0622" w:rsidRPr="000C0622" w:rsidRDefault="000C0622" w:rsidP="000C0622">
      <w:pPr>
        <w:numPr>
          <w:ilvl w:val="0"/>
          <w:numId w:val="43"/>
        </w:numPr>
        <w:overflowPunct/>
        <w:autoSpaceDE/>
        <w:autoSpaceDN/>
        <w:adjustRightInd/>
        <w:spacing w:after="0"/>
        <w:ind w:left="1080"/>
        <w:textAlignment w:val="auto"/>
        <w:rPr>
          <w:sz w:val="22"/>
          <w:szCs w:val="22"/>
        </w:rPr>
      </w:pPr>
      <w:r w:rsidRPr="000C0622">
        <w:rPr>
          <w:position w:val="-30"/>
          <w:sz w:val="22"/>
          <w:szCs w:val="22"/>
        </w:rPr>
        <w:object w:dxaOrig="6619" w:dyaOrig="700" w14:anchorId="330D0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34.6pt" o:ole="">
            <v:imagedata r:id="rId12" o:title=""/>
          </v:shape>
          <o:OLEObject Type="Embed" ProgID="Equation.3" ShapeID="_x0000_i1025" DrawAspect="Content" ObjectID="_1584541299" r:id="rId13"/>
        </w:object>
      </w:r>
    </w:p>
    <w:p w14:paraId="1893D0F8" w14:textId="77777777" w:rsidR="000C0622" w:rsidRPr="000C0622" w:rsidRDefault="000C0622" w:rsidP="000C0622">
      <w:pPr>
        <w:ind w:left="1800"/>
        <w:rPr>
          <w:sz w:val="22"/>
          <w:szCs w:val="22"/>
        </w:rPr>
      </w:pPr>
      <w:r w:rsidRPr="000C0622">
        <w:rPr>
          <w:sz w:val="22"/>
          <w:szCs w:val="22"/>
        </w:rPr>
        <w:t>wherein</w:t>
      </w:r>
    </w:p>
    <w:p w14:paraId="79C48804" w14:textId="77777777" w:rsidR="000C0622" w:rsidRPr="000C0622" w:rsidRDefault="000C0622" w:rsidP="000C0622">
      <w:pPr>
        <w:pStyle w:val="ListParagraph"/>
        <w:numPr>
          <w:ilvl w:val="0"/>
          <w:numId w:val="42"/>
        </w:numPr>
        <w:overflowPunct w:val="0"/>
        <w:autoSpaceDE w:val="0"/>
        <w:autoSpaceDN w:val="0"/>
        <w:adjustRightInd w:val="0"/>
        <w:spacing w:after="180"/>
        <w:ind w:left="2520"/>
        <w:contextualSpacing/>
        <w:textAlignment w:val="baseline"/>
        <w:rPr>
          <w:rFonts w:ascii="Times New Roman" w:hAnsi="Times New Roman"/>
        </w:rPr>
      </w:pPr>
      <w:r w:rsidRPr="009C3809">
        <w:rPr>
          <w:rFonts w:ascii="Times New Roman" w:hAnsi="Times New Roman"/>
          <w:i/>
        </w:rPr>
        <w:t>J</w:t>
      </w:r>
      <w:r w:rsidRPr="000C0622">
        <w:rPr>
          <w:rFonts w:ascii="Times New Roman" w:hAnsi="Times New Roman"/>
        </w:rPr>
        <w:t xml:space="preserve"> is the number of aggregated component carriers in a band or band combination</w:t>
      </w:r>
    </w:p>
    <w:p w14:paraId="03A2FE10" w14:textId="77777777" w:rsidR="000C0622" w:rsidRPr="000C0622" w:rsidRDefault="000C0622" w:rsidP="000C0622">
      <w:pPr>
        <w:pStyle w:val="ListParagraph"/>
        <w:numPr>
          <w:ilvl w:val="0"/>
          <w:numId w:val="42"/>
        </w:numPr>
        <w:overflowPunct w:val="0"/>
        <w:autoSpaceDE w:val="0"/>
        <w:autoSpaceDN w:val="0"/>
        <w:adjustRightInd w:val="0"/>
        <w:spacing w:after="180"/>
        <w:ind w:left="2520"/>
        <w:contextualSpacing/>
        <w:textAlignment w:val="baseline"/>
        <w:rPr>
          <w:rFonts w:ascii="Times New Roman" w:hAnsi="Times New Roman"/>
        </w:rPr>
      </w:pPr>
      <w:r w:rsidRPr="009C3809">
        <w:rPr>
          <w:rFonts w:ascii="Times New Roman" w:hAnsi="Times New Roman"/>
          <w:i/>
        </w:rPr>
        <w:t>R</w:t>
      </w:r>
      <w:r w:rsidRPr="009C3809">
        <w:rPr>
          <w:rFonts w:ascii="Times New Roman" w:hAnsi="Times New Roman"/>
          <w:i/>
          <w:vertAlign w:val="subscript"/>
        </w:rPr>
        <w:t>max</w:t>
      </w:r>
      <w:r w:rsidRPr="000C0622">
        <w:rPr>
          <w:rFonts w:ascii="Times New Roman" w:hAnsi="Times New Roman"/>
        </w:rPr>
        <w:t xml:space="preserve"> = 948/1024</w:t>
      </w:r>
    </w:p>
    <w:p w14:paraId="1EF961FD" w14:textId="77777777" w:rsidR="000C0622" w:rsidRPr="000C0622" w:rsidRDefault="000C0622" w:rsidP="000C0622">
      <w:pPr>
        <w:pStyle w:val="ListParagraph"/>
        <w:numPr>
          <w:ilvl w:val="0"/>
          <w:numId w:val="42"/>
        </w:numPr>
        <w:overflowPunct w:val="0"/>
        <w:autoSpaceDE w:val="0"/>
        <w:autoSpaceDN w:val="0"/>
        <w:adjustRightInd w:val="0"/>
        <w:spacing w:after="180"/>
        <w:ind w:left="2520"/>
        <w:contextualSpacing/>
        <w:textAlignment w:val="baseline"/>
        <w:rPr>
          <w:rFonts w:ascii="Times New Roman" w:hAnsi="Times New Roman"/>
        </w:rPr>
      </w:pPr>
      <w:r w:rsidRPr="000C0622">
        <w:rPr>
          <w:rFonts w:ascii="Times New Roman" w:hAnsi="Times New Roman"/>
        </w:rPr>
        <w:t xml:space="preserve">For the </w:t>
      </w:r>
      <w:r w:rsidRPr="009C3809">
        <w:rPr>
          <w:rFonts w:ascii="Times New Roman" w:hAnsi="Times New Roman"/>
          <w:i/>
        </w:rPr>
        <w:t>j</w:t>
      </w:r>
      <w:r w:rsidRPr="000C0622">
        <w:rPr>
          <w:rFonts w:ascii="Times New Roman" w:hAnsi="Times New Roman"/>
        </w:rPr>
        <w:t>-th CC,</w:t>
      </w:r>
    </w:p>
    <w:p w14:paraId="6030E6E6" w14:textId="77777777" w:rsidR="000C0622" w:rsidRPr="000C0622" w:rsidRDefault="000C0622" w:rsidP="000C0622">
      <w:pPr>
        <w:pStyle w:val="ListParagraph"/>
        <w:numPr>
          <w:ilvl w:val="1"/>
          <w:numId w:val="42"/>
        </w:numPr>
        <w:overflowPunct w:val="0"/>
        <w:autoSpaceDE w:val="0"/>
        <w:autoSpaceDN w:val="0"/>
        <w:adjustRightInd w:val="0"/>
        <w:spacing w:after="180"/>
        <w:ind w:left="3240"/>
        <w:contextualSpacing/>
        <w:textAlignment w:val="baseline"/>
        <w:rPr>
          <w:rFonts w:ascii="Times New Roman" w:hAnsi="Times New Roman"/>
        </w:rPr>
      </w:pPr>
      <w:r w:rsidRPr="000C0622">
        <w:rPr>
          <w:rFonts w:ascii="Times New Roman" w:eastAsia="MS Mincho" w:hAnsi="Times New Roman"/>
          <w:position w:val="-16"/>
        </w:rPr>
        <w:object w:dxaOrig="480" w:dyaOrig="400" w14:anchorId="169965C8">
          <v:shape id="_x0000_i1026" type="#_x0000_t75" style="width:24.3pt;height:20.1pt" o:ole="">
            <v:imagedata r:id="rId14" o:title=""/>
          </v:shape>
          <o:OLEObject Type="Embed" ProgID="Equation.3" ShapeID="_x0000_i1026" DrawAspect="Content" ObjectID="_1584541300" r:id="rId15"/>
        </w:object>
      </w:r>
      <w:r w:rsidRPr="000C0622">
        <w:rPr>
          <w:rFonts w:ascii="Times New Roman" w:hAnsi="Times New Roman"/>
        </w:rPr>
        <w:t xml:space="preserve"> is the maximum number of layers </w:t>
      </w:r>
    </w:p>
    <w:p w14:paraId="4F16E40A" w14:textId="77777777" w:rsidR="000C0622" w:rsidRPr="000C0622" w:rsidRDefault="000C0622" w:rsidP="000C0622">
      <w:pPr>
        <w:pStyle w:val="ListParagraph"/>
        <w:numPr>
          <w:ilvl w:val="1"/>
          <w:numId w:val="42"/>
        </w:numPr>
        <w:overflowPunct w:val="0"/>
        <w:autoSpaceDE w:val="0"/>
        <w:autoSpaceDN w:val="0"/>
        <w:adjustRightInd w:val="0"/>
        <w:spacing w:after="180"/>
        <w:ind w:left="3240"/>
        <w:contextualSpacing/>
        <w:textAlignment w:val="baseline"/>
        <w:rPr>
          <w:rFonts w:ascii="Times New Roman" w:hAnsi="Times New Roman"/>
        </w:rPr>
      </w:pPr>
      <w:r w:rsidRPr="000C0622">
        <w:rPr>
          <w:rFonts w:ascii="Times New Roman" w:eastAsia="MS Mincho" w:hAnsi="Times New Roman"/>
          <w:position w:val="-10"/>
        </w:rPr>
        <w:object w:dxaOrig="400" w:dyaOrig="340" w14:anchorId="15E2630E">
          <v:shape id="_x0000_i1027" type="#_x0000_t75" style="width:20.1pt;height:17.3pt" o:ole="">
            <v:imagedata r:id="rId16" o:title=""/>
          </v:shape>
          <o:OLEObject Type="Embed" ProgID="Equation.3" ShapeID="_x0000_i1027" DrawAspect="Content" ObjectID="_1584541301" r:id="rId17"/>
        </w:object>
      </w:r>
      <w:r w:rsidRPr="000C0622">
        <w:rPr>
          <w:rFonts w:ascii="Times New Roman" w:hAnsi="Times New Roman"/>
        </w:rPr>
        <w:t xml:space="preserve"> is the maximum modulation order</w:t>
      </w:r>
    </w:p>
    <w:p w14:paraId="3C372F58" w14:textId="77777777" w:rsidR="000C0622" w:rsidRPr="000C0622" w:rsidRDefault="000C0622" w:rsidP="000C0622">
      <w:pPr>
        <w:pStyle w:val="ListParagraph"/>
        <w:numPr>
          <w:ilvl w:val="1"/>
          <w:numId w:val="42"/>
        </w:numPr>
        <w:overflowPunct w:val="0"/>
        <w:autoSpaceDE w:val="0"/>
        <w:autoSpaceDN w:val="0"/>
        <w:adjustRightInd w:val="0"/>
        <w:ind w:left="3240"/>
        <w:contextualSpacing/>
        <w:textAlignment w:val="baseline"/>
        <w:rPr>
          <w:rFonts w:ascii="Times New Roman" w:hAnsi="Times New Roman"/>
        </w:rPr>
      </w:pPr>
      <w:r w:rsidRPr="000C0622">
        <w:rPr>
          <w:rFonts w:ascii="Times New Roman" w:eastAsia="MS Mincho" w:hAnsi="Times New Roman"/>
          <w:position w:val="-14"/>
        </w:rPr>
        <w:object w:dxaOrig="380" w:dyaOrig="380" w14:anchorId="28FEC8CF">
          <v:shape id="_x0000_i1028" type="#_x0000_t75" style="width:19.15pt;height:20.1pt" o:ole="">
            <v:imagedata r:id="rId18" o:title=""/>
          </v:shape>
          <o:OLEObject Type="Embed" ProgID="Equation.3" ShapeID="_x0000_i1028" DrawAspect="Content" ObjectID="_1584541302" r:id="rId19"/>
        </w:object>
      </w:r>
      <w:r w:rsidRPr="000C0622">
        <w:rPr>
          <w:rFonts w:ascii="Times New Roman" w:hAnsi="Times New Roman"/>
        </w:rPr>
        <w:t xml:space="preserve">is the scaling factor </w:t>
      </w:r>
    </w:p>
    <w:p w14:paraId="2C202966" w14:textId="77777777" w:rsidR="000C0622" w:rsidRPr="000C0622" w:rsidRDefault="000C0622" w:rsidP="000C0622">
      <w:pPr>
        <w:numPr>
          <w:ilvl w:val="3"/>
          <w:numId w:val="44"/>
        </w:numPr>
        <w:overflowPunct/>
        <w:autoSpaceDE/>
        <w:autoSpaceDN/>
        <w:adjustRightInd/>
        <w:spacing w:after="0"/>
        <w:ind w:left="3960"/>
        <w:textAlignment w:val="auto"/>
        <w:rPr>
          <w:sz w:val="22"/>
          <w:szCs w:val="22"/>
        </w:rPr>
      </w:pPr>
      <w:r w:rsidRPr="000C0622">
        <w:rPr>
          <w:sz w:val="22"/>
          <w:szCs w:val="22"/>
        </w:rPr>
        <w:t xml:space="preserve">The scaling factor can at least take the values 1 and 0.75. </w:t>
      </w:r>
    </w:p>
    <w:p w14:paraId="68E0ED24" w14:textId="77777777" w:rsidR="000C0622" w:rsidRPr="000C0622" w:rsidRDefault="000C0622" w:rsidP="000C0622">
      <w:pPr>
        <w:numPr>
          <w:ilvl w:val="3"/>
          <w:numId w:val="44"/>
        </w:numPr>
        <w:overflowPunct/>
        <w:autoSpaceDE/>
        <w:autoSpaceDN/>
        <w:adjustRightInd/>
        <w:spacing w:after="0"/>
        <w:ind w:left="3960"/>
        <w:textAlignment w:val="auto"/>
        <w:rPr>
          <w:sz w:val="22"/>
          <w:szCs w:val="22"/>
        </w:rPr>
      </w:pPr>
      <w:r w:rsidRPr="000C0622">
        <w:rPr>
          <w:rFonts w:eastAsia="MS Mincho"/>
          <w:position w:val="-14"/>
          <w:sz w:val="22"/>
          <w:szCs w:val="22"/>
        </w:rPr>
        <w:object w:dxaOrig="380" w:dyaOrig="380" w14:anchorId="516A73EE">
          <v:shape id="_x0000_i1029" type="#_x0000_t75" style="width:19.15pt;height:20.1pt" o:ole="">
            <v:imagedata r:id="rId20" o:title=""/>
          </v:shape>
          <o:OLEObject Type="Embed" ProgID="Equation.3" ShapeID="_x0000_i1029" DrawAspect="Content" ObjectID="_1584541303" r:id="rId21"/>
        </w:object>
      </w:r>
      <w:r w:rsidRPr="000C0622">
        <w:rPr>
          <w:sz w:val="22"/>
          <w:szCs w:val="22"/>
        </w:rPr>
        <w:t>is signalled per band and per band per band combination as per UE capability signalling</w:t>
      </w:r>
    </w:p>
    <w:p w14:paraId="17F67C09" w14:textId="77777777" w:rsidR="000C0622" w:rsidRPr="000C0622" w:rsidRDefault="000C0622" w:rsidP="000C0622">
      <w:pPr>
        <w:pStyle w:val="ListParagraph"/>
        <w:numPr>
          <w:ilvl w:val="1"/>
          <w:numId w:val="42"/>
        </w:numPr>
        <w:overflowPunct w:val="0"/>
        <w:autoSpaceDE w:val="0"/>
        <w:autoSpaceDN w:val="0"/>
        <w:adjustRightInd w:val="0"/>
        <w:spacing w:after="180"/>
        <w:ind w:left="3240"/>
        <w:contextualSpacing/>
        <w:textAlignment w:val="baseline"/>
        <w:rPr>
          <w:rFonts w:ascii="Times New Roman" w:hAnsi="Times New Roman"/>
        </w:rPr>
      </w:pPr>
      <w:r w:rsidRPr="000C0622">
        <w:rPr>
          <w:rFonts w:ascii="Times New Roman" w:hAnsi="Times New Roman"/>
          <w:position w:val="-10"/>
        </w:rPr>
        <w:object w:dxaOrig="220" w:dyaOrig="240" w14:anchorId="7BEE5D48">
          <v:shape id="_x0000_i1030" type="#_x0000_t75" style="width:11.2pt;height:12.15pt" o:ole="">
            <v:imagedata r:id="rId22" o:title=""/>
          </v:shape>
          <o:OLEObject Type="Embed" ProgID="Equation.3" ShapeID="_x0000_i1030" DrawAspect="Content" ObjectID="_1584541304" r:id="rId23"/>
        </w:object>
      </w:r>
      <w:r w:rsidRPr="000C0622">
        <w:rPr>
          <w:rFonts w:ascii="Times New Roman" w:hAnsi="Times New Roman"/>
        </w:rPr>
        <w:t xml:space="preserve"> is the numerology (as defined in TS38.211)</w:t>
      </w:r>
    </w:p>
    <w:bookmarkStart w:id="0" w:name="OLE_LINK8"/>
    <w:p w14:paraId="660125B5" w14:textId="77777777" w:rsidR="000C0622" w:rsidRPr="000C0622" w:rsidRDefault="000C0622" w:rsidP="000C0622">
      <w:pPr>
        <w:pStyle w:val="ListParagraph"/>
        <w:numPr>
          <w:ilvl w:val="1"/>
          <w:numId w:val="42"/>
        </w:numPr>
        <w:overflowPunct w:val="0"/>
        <w:autoSpaceDE w:val="0"/>
        <w:autoSpaceDN w:val="0"/>
        <w:adjustRightInd w:val="0"/>
        <w:spacing w:after="180"/>
        <w:ind w:left="3240"/>
        <w:contextualSpacing/>
        <w:textAlignment w:val="baseline"/>
        <w:rPr>
          <w:rFonts w:ascii="Times New Roman" w:hAnsi="Times New Roman"/>
        </w:rPr>
      </w:pPr>
      <w:r w:rsidRPr="000C0622">
        <w:rPr>
          <w:rFonts w:ascii="Times New Roman" w:hAnsi="Times New Roman"/>
          <w:position w:val="-12"/>
        </w:rPr>
        <w:object w:dxaOrig="340" w:dyaOrig="380" w14:anchorId="027D7B9C">
          <v:shape id="_x0000_i1031" type="#_x0000_t75" style="width:17.75pt;height:18.7pt" o:ole="">
            <v:imagedata r:id="rId24" o:title=""/>
          </v:shape>
          <o:OLEObject Type="Embed" ProgID="Equation.3" ShapeID="_x0000_i1031" DrawAspect="Content" ObjectID="_1584541305" r:id="rId25"/>
        </w:object>
      </w:r>
      <w:bookmarkEnd w:id="0"/>
      <w:r w:rsidRPr="000C0622">
        <w:rPr>
          <w:rFonts w:ascii="Times New Roman" w:hAnsi="Times New Roman"/>
        </w:rPr>
        <w:t xml:space="preserve"> is the average OFDM symbol duration in a subframe for numerology </w:t>
      </w:r>
      <w:r w:rsidRPr="000C0622">
        <w:rPr>
          <w:rFonts w:ascii="Times New Roman" w:hAnsi="Times New Roman"/>
          <w:position w:val="-10"/>
        </w:rPr>
        <w:object w:dxaOrig="220" w:dyaOrig="240" w14:anchorId="22FBCB3E">
          <v:shape id="_x0000_i1032" type="#_x0000_t75" style="width:11.2pt;height:12.15pt" o:ole="">
            <v:imagedata r:id="rId22" o:title=""/>
          </v:shape>
          <o:OLEObject Type="Embed" ProgID="Equation.3" ShapeID="_x0000_i1032" DrawAspect="Content" ObjectID="_1584541306" r:id="rId26"/>
        </w:object>
      </w:r>
      <w:r w:rsidRPr="000C0622">
        <w:rPr>
          <w:rFonts w:ascii="Times New Roman" w:hAnsi="Times New Roman"/>
        </w:rPr>
        <w:t xml:space="preserve">, i.e. </w:t>
      </w:r>
      <w:r w:rsidRPr="000C0622">
        <w:rPr>
          <w:rFonts w:ascii="Times New Roman" w:hAnsi="Times New Roman"/>
          <w:position w:val="-22"/>
        </w:rPr>
        <w:object w:dxaOrig="1100" w:dyaOrig="580" w14:anchorId="30B0CC83">
          <v:shape id="_x0000_i1033" type="#_x0000_t75" style="width:56.1pt;height:27.6pt" o:ole="">
            <v:imagedata r:id="rId27" o:title=""/>
          </v:shape>
          <o:OLEObject Type="Embed" ProgID="Equation.3" ShapeID="_x0000_i1033" DrawAspect="Content" ObjectID="_1584541307" r:id="rId28"/>
        </w:object>
      </w:r>
      <w:r w:rsidRPr="000C0622">
        <w:rPr>
          <w:rFonts w:ascii="Times New Roman" w:hAnsi="Times New Roman"/>
        </w:rPr>
        <w:t>. Note that normal cyclic prefix is assumed.</w:t>
      </w:r>
    </w:p>
    <w:p w14:paraId="551072AF" w14:textId="77777777" w:rsidR="000C0622" w:rsidRPr="000C0622" w:rsidRDefault="000C0622" w:rsidP="000C0622">
      <w:pPr>
        <w:pStyle w:val="ListParagraph"/>
        <w:numPr>
          <w:ilvl w:val="1"/>
          <w:numId w:val="42"/>
        </w:numPr>
        <w:overflowPunct w:val="0"/>
        <w:autoSpaceDE w:val="0"/>
        <w:autoSpaceDN w:val="0"/>
        <w:adjustRightInd w:val="0"/>
        <w:spacing w:after="180"/>
        <w:ind w:left="3240"/>
        <w:contextualSpacing/>
        <w:textAlignment w:val="baseline"/>
        <w:rPr>
          <w:rFonts w:ascii="Times New Roman" w:hAnsi="Times New Roman"/>
        </w:rPr>
      </w:pPr>
      <w:r w:rsidRPr="000C0622">
        <w:rPr>
          <w:rFonts w:ascii="Times New Roman" w:hAnsi="Times New Roman"/>
          <w:position w:val="-10"/>
        </w:rPr>
        <w:object w:dxaOrig="740" w:dyaOrig="340" w14:anchorId="09A296E8">
          <v:shape id="_x0000_i1034" type="#_x0000_t75" style="width:37.4pt;height:15.9pt" o:ole="">
            <v:imagedata r:id="rId29" o:title=""/>
          </v:shape>
          <o:OLEObject Type="Embed" ProgID="Equation.3" ShapeID="_x0000_i1034" DrawAspect="Content" ObjectID="_1584541308" r:id="rId30"/>
        </w:object>
      </w:r>
      <w:r w:rsidRPr="000C0622">
        <w:rPr>
          <w:rFonts w:ascii="Times New Roman" w:hAnsi="Times New Roman"/>
        </w:rPr>
        <w:t xml:space="preserve"> is the maximum RB allocation in bandwidth </w:t>
      </w:r>
      <w:r w:rsidRPr="000C0622">
        <w:rPr>
          <w:rFonts w:ascii="Times New Roman" w:hAnsi="Times New Roman"/>
          <w:position w:val="-6"/>
        </w:rPr>
        <w:object w:dxaOrig="560" w:dyaOrig="300" w14:anchorId="3D84098A">
          <v:shape id="_x0000_i1035" type="#_x0000_t75" style="width:27.6pt;height:15.45pt" o:ole="">
            <v:imagedata r:id="rId31" o:title=""/>
          </v:shape>
          <o:OLEObject Type="Embed" ProgID="Equation.3" ShapeID="_x0000_i1035" DrawAspect="Content" ObjectID="_1584541309" r:id="rId32"/>
        </w:object>
      </w:r>
      <w:r w:rsidRPr="000C0622">
        <w:rPr>
          <w:rFonts w:ascii="Times New Roman" w:hAnsi="Times New Roman"/>
        </w:rPr>
        <w:t xml:space="preserve"> with numerology </w:t>
      </w:r>
      <w:r w:rsidRPr="000C0622">
        <w:rPr>
          <w:rFonts w:ascii="Times New Roman" w:hAnsi="Times New Roman"/>
          <w:position w:val="-10"/>
        </w:rPr>
        <w:object w:dxaOrig="220" w:dyaOrig="240" w14:anchorId="0D6EC303">
          <v:shape id="_x0000_i1036" type="#_x0000_t75" style="width:10.75pt;height:12.15pt" o:ole="">
            <v:imagedata r:id="rId22" o:title=""/>
          </v:shape>
          <o:OLEObject Type="Embed" ProgID="Equation.3" ShapeID="_x0000_i1036" DrawAspect="Content" ObjectID="_1584541310" r:id="rId33"/>
        </w:object>
      </w:r>
      <w:r w:rsidRPr="000C0622">
        <w:rPr>
          <w:rFonts w:ascii="Times New Roman" w:hAnsi="Times New Roman"/>
        </w:rPr>
        <w:t xml:space="preserve">, as given in TR 38.817-01 section 4.5.1 (to be eventually defined in TS 38.101), where </w:t>
      </w:r>
      <w:r w:rsidRPr="000C0622">
        <w:rPr>
          <w:rFonts w:ascii="Times New Roman" w:hAnsi="Times New Roman"/>
          <w:position w:val="-6"/>
        </w:rPr>
        <w:object w:dxaOrig="560" w:dyaOrig="300" w14:anchorId="6D3BEF54">
          <v:shape id="_x0000_i1037" type="#_x0000_t75" style="width:27.6pt;height:14.95pt" o:ole="">
            <v:imagedata r:id="rId31" o:title=""/>
          </v:shape>
          <o:OLEObject Type="Embed" ProgID="Equation.3" ShapeID="_x0000_i1037" DrawAspect="Content" ObjectID="_1584541311" r:id="rId34"/>
        </w:object>
      </w:r>
      <w:r w:rsidRPr="000C0622">
        <w:rPr>
          <w:rFonts w:ascii="Times New Roman" w:hAnsi="Times New Roman"/>
        </w:rPr>
        <w:t xml:space="preserve"> is the UE supported maximum bandwidth in the given band or band combination</w:t>
      </w:r>
    </w:p>
    <w:p w14:paraId="730C8CEC" w14:textId="77777777" w:rsidR="000C0622" w:rsidRPr="000C0622" w:rsidRDefault="000C0622" w:rsidP="000C0622">
      <w:pPr>
        <w:pStyle w:val="ListParagraph"/>
        <w:numPr>
          <w:ilvl w:val="1"/>
          <w:numId w:val="42"/>
        </w:numPr>
        <w:overflowPunct w:val="0"/>
        <w:autoSpaceDE w:val="0"/>
        <w:autoSpaceDN w:val="0"/>
        <w:adjustRightInd w:val="0"/>
        <w:spacing w:after="180"/>
        <w:ind w:left="3240"/>
        <w:contextualSpacing/>
        <w:textAlignment w:val="baseline"/>
        <w:rPr>
          <w:rFonts w:ascii="Times New Roman" w:hAnsi="Times New Roman"/>
        </w:rPr>
      </w:pPr>
      <w:r w:rsidRPr="000C0622">
        <w:rPr>
          <w:rFonts w:ascii="Times New Roman" w:eastAsia="MS Mincho" w:hAnsi="Times New Roman"/>
          <w:position w:val="-6"/>
        </w:rPr>
        <w:object w:dxaOrig="560" w:dyaOrig="300" w14:anchorId="2F594DEC">
          <v:shape id="_x0000_i1038" type="#_x0000_t75" style="width:27.6pt;height:14.95pt" o:ole="">
            <v:imagedata r:id="rId35" o:title=""/>
          </v:shape>
          <o:OLEObject Type="Embed" ProgID="Equation.3" ShapeID="_x0000_i1038" DrawAspect="Content" ObjectID="_1584541312" r:id="rId36"/>
        </w:object>
      </w:r>
      <w:r w:rsidRPr="000C0622">
        <w:rPr>
          <w:rFonts w:ascii="Times New Roman" w:hAnsi="Times New Roman"/>
        </w:rPr>
        <w:t>is the overhead and takes the following values</w:t>
      </w:r>
    </w:p>
    <w:p w14:paraId="43872269" w14:textId="77777777" w:rsidR="000C0622" w:rsidRPr="000C0622" w:rsidRDefault="000C0622" w:rsidP="000C0622">
      <w:pPr>
        <w:pStyle w:val="ListParagraph"/>
        <w:numPr>
          <w:ilvl w:val="3"/>
          <w:numId w:val="42"/>
        </w:numPr>
        <w:ind w:left="3879"/>
        <w:rPr>
          <w:rFonts w:ascii="Times New Roman" w:hAnsi="Times New Roman"/>
        </w:rPr>
      </w:pPr>
      <w:r w:rsidRPr="000C0622">
        <w:rPr>
          <w:rFonts w:ascii="Times New Roman" w:hAnsi="Times New Roman"/>
        </w:rPr>
        <w:t>0.14, for frequency range FR1 for DL</w:t>
      </w:r>
    </w:p>
    <w:p w14:paraId="323FE68B" w14:textId="77777777" w:rsidR="000C0622" w:rsidRPr="000C0622" w:rsidRDefault="000C0622" w:rsidP="000C0622">
      <w:pPr>
        <w:numPr>
          <w:ilvl w:val="3"/>
          <w:numId w:val="42"/>
        </w:numPr>
        <w:overflowPunct/>
        <w:autoSpaceDE/>
        <w:autoSpaceDN/>
        <w:adjustRightInd/>
        <w:spacing w:after="0"/>
        <w:ind w:left="3879"/>
        <w:textAlignment w:val="auto"/>
        <w:rPr>
          <w:sz w:val="22"/>
          <w:szCs w:val="22"/>
        </w:rPr>
      </w:pPr>
      <w:r w:rsidRPr="000C0622">
        <w:rPr>
          <w:sz w:val="22"/>
          <w:szCs w:val="22"/>
        </w:rPr>
        <w:t>0.18, for frequency range FR2 for DL</w:t>
      </w:r>
    </w:p>
    <w:p w14:paraId="587C3883" w14:textId="77777777" w:rsidR="000C0622" w:rsidRPr="000C0622" w:rsidRDefault="000C0622" w:rsidP="000C0622">
      <w:pPr>
        <w:pStyle w:val="ListParagraph"/>
        <w:numPr>
          <w:ilvl w:val="3"/>
          <w:numId w:val="42"/>
        </w:numPr>
        <w:ind w:left="3879"/>
        <w:rPr>
          <w:rFonts w:ascii="Times New Roman" w:hAnsi="Times New Roman"/>
        </w:rPr>
      </w:pPr>
      <w:r w:rsidRPr="000C0622">
        <w:rPr>
          <w:rFonts w:ascii="Times New Roman" w:hAnsi="Times New Roman"/>
        </w:rPr>
        <w:t>0.08, for frequency range FR1 for UL</w:t>
      </w:r>
    </w:p>
    <w:p w14:paraId="3090E783" w14:textId="77777777" w:rsidR="000C0622" w:rsidRPr="000C0622" w:rsidRDefault="000C0622" w:rsidP="000C0622">
      <w:pPr>
        <w:numPr>
          <w:ilvl w:val="3"/>
          <w:numId w:val="42"/>
        </w:numPr>
        <w:overflowPunct/>
        <w:autoSpaceDE/>
        <w:autoSpaceDN/>
        <w:adjustRightInd/>
        <w:spacing w:after="0"/>
        <w:ind w:left="3879"/>
        <w:textAlignment w:val="auto"/>
        <w:rPr>
          <w:sz w:val="22"/>
          <w:szCs w:val="22"/>
        </w:rPr>
      </w:pPr>
      <w:r w:rsidRPr="000C0622">
        <w:rPr>
          <w:sz w:val="22"/>
          <w:szCs w:val="22"/>
        </w:rPr>
        <w:t>0.10, for frequency range FR2 for UL</w:t>
      </w:r>
    </w:p>
    <w:p w14:paraId="420E51F9" w14:textId="77777777" w:rsidR="000C0622" w:rsidRPr="000C0622" w:rsidRDefault="000C0622" w:rsidP="000C0622">
      <w:pPr>
        <w:pStyle w:val="ListParagraph"/>
        <w:numPr>
          <w:ilvl w:val="0"/>
          <w:numId w:val="42"/>
        </w:numPr>
        <w:overflowPunct w:val="0"/>
        <w:autoSpaceDE w:val="0"/>
        <w:autoSpaceDN w:val="0"/>
        <w:adjustRightInd w:val="0"/>
        <w:spacing w:after="180"/>
        <w:ind w:left="2520"/>
        <w:contextualSpacing/>
        <w:textAlignment w:val="baseline"/>
        <w:rPr>
          <w:rFonts w:ascii="Times New Roman" w:hAnsi="Times New Roman"/>
        </w:rPr>
      </w:pPr>
      <w:r w:rsidRPr="000C0622">
        <w:rPr>
          <w:rFonts w:ascii="Times New Roman" w:hAnsi="Times New Roman"/>
        </w:rPr>
        <w:t xml:space="preserve">Note: Only one of the UL or SUL carriers (the one with the higher data rate) is counted for a cell operating SUL </w:t>
      </w:r>
    </w:p>
    <w:p w14:paraId="3A6B9EF0" w14:textId="77777777" w:rsidR="000C0622" w:rsidRPr="000C0622" w:rsidRDefault="000C0622" w:rsidP="000C0622">
      <w:pPr>
        <w:numPr>
          <w:ilvl w:val="0"/>
          <w:numId w:val="42"/>
        </w:numPr>
        <w:overflowPunct/>
        <w:autoSpaceDE/>
        <w:autoSpaceDN/>
        <w:adjustRightInd/>
        <w:spacing w:after="0"/>
        <w:ind w:left="720"/>
        <w:textAlignment w:val="auto"/>
        <w:rPr>
          <w:sz w:val="22"/>
          <w:szCs w:val="22"/>
        </w:rPr>
      </w:pPr>
      <w:r w:rsidRPr="000C0622">
        <w:rPr>
          <w:sz w:val="22"/>
          <w:szCs w:val="22"/>
        </w:rPr>
        <w:t>The approximate maximum data rate can be computed as the maximum of the approximate data rates computed using the above formula for each of the supported band or band combinations.</w:t>
      </w:r>
    </w:p>
    <w:p w14:paraId="6BF70CD2" w14:textId="77777777" w:rsidR="002C5EC5" w:rsidRPr="000C0622" w:rsidRDefault="002C5EC5" w:rsidP="00D830A1">
      <w:pPr>
        <w:pStyle w:val="BodyText"/>
        <w:spacing w:before="240"/>
        <w:jc w:val="left"/>
        <w:rPr>
          <w:rFonts w:ascii="Times New Roman" w:hAnsi="Times New Roman"/>
          <w:sz w:val="22"/>
          <w:szCs w:val="22"/>
          <w:lang w:eastAsia="zh-CN"/>
        </w:rPr>
      </w:pPr>
    </w:p>
    <w:p w14:paraId="7FB3C8A6" w14:textId="4675A2DB" w:rsidR="002C5EC5" w:rsidRDefault="009C3809" w:rsidP="00D830A1">
      <w:pPr>
        <w:pStyle w:val="BodyText"/>
        <w:spacing w:before="240"/>
        <w:jc w:val="left"/>
        <w:rPr>
          <w:rFonts w:ascii="Times New Roman" w:hAnsi="Times New Roman"/>
          <w:sz w:val="22"/>
          <w:szCs w:val="22"/>
          <w:lang w:val="en-GB" w:eastAsia="zh-CN"/>
        </w:rPr>
      </w:pPr>
      <w:r>
        <w:rPr>
          <w:rFonts w:ascii="Times New Roman" w:hAnsi="Times New Roman"/>
          <w:sz w:val="22"/>
          <w:szCs w:val="22"/>
          <w:lang w:val="en-GB" w:eastAsia="zh-CN"/>
        </w:rPr>
        <w:t xml:space="preserve">Additionally, RAN2 has requested information on the down scaling factor, </w:t>
      </w:r>
      <w:r w:rsidRPr="000C0622">
        <w:rPr>
          <w:rFonts w:ascii="Times New Roman" w:eastAsia="MS Mincho" w:hAnsi="Times New Roman"/>
          <w:position w:val="-14"/>
          <w:sz w:val="22"/>
          <w:szCs w:val="22"/>
        </w:rPr>
        <w:object w:dxaOrig="380" w:dyaOrig="380" w14:anchorId="10AAC2F3">
          <v:shape id="_x0000_i1039" type="#_x0000_t75" style="width:19.15pt;height:20.1pt" o:ole="">
            <v:imagedata r:id="rId20" o:title=""/>
          </v:shape>
          <o:OLEObject Type="Embed" ProgID="Equation.3" ShapeID="_x0000_i1039" DrawAspect="Content" ObjectID="_1584541313" r:id="rId37"/>
        </w:object>
      </w:r>
      <w:r>
        <w:rPr>
          <w:rFonts w:ascii="Times New Roman" w:hAnsi="Times New Roman"/>
          <w:sz w:val="22"/>
          <w:szCs w:val="22"/>
        </w:rPr>
        <w:t xml:space="preserve">, and use cases for down scaling value of 0.75 in </w:t>
      </w:r>
      <w:r w:rsidR="00F528C8">
        <w:rPr>
          <w:rFonts w:ascii="Times New Roman" w:hAnsi="Times New Roman"/>
          <w:sz w:val="22"/>
          <w:szCs w:val="22"/>
          <w:lang w:val="en-GB" w:eastAsia="zh-CN"/>
        </w:rPr>
        <w:fldChar w:fldCharType="begin"/>
      </w:r>
      <w:r w:rsidR="00F528C8">
        <w:rPr>
          <w:rFonts w:ascii="Times New Roman" w:hAnsi="Times New Roman"/>
          <w:sz w:val="22"/>
          <w:szCs w:val="22"/>
          <w:lang w:val="en-GB" w:eastAsia="zh-CN"/>
        </w:rPr>
        <w:instrText xml:space="preserve"> REF _Ref506500811 \r \h </w:instrText>
      </w:r>
      <w:r w:rsidR="00F528C8">
        <w:rPr>
          <w:rFonts w:ascii="Times New Roman" w:hAnsi="Times New Roman"/>
          <w:sz w:val="22"/>
          <w:szCs w:val="22"/>
          <w:lang w:val="en-GB" w:eastAsia="zh-CN"/>
        </w:rPr>
      </w:r>
      <w:r w:rsidR="00F528C8">
        <w:rPr>
          <w:rFonts w:ascii="Times New Roman" w:hAnsi="Times New Roman"/>
          <w:sz w:val="22"/>
          <w:szCs w:val="22"/>
          <w:lang w:val="en-GB" w:eastAsia="zh-CN"/>
        </w:rPr>
        <w:fldChar w:fldCharType="separate"/>
      </w:r>
      <w:r w:rsidR="00F528C8">
        <w:rPr>
          <w:rFonts w:ascii="Times New Roman" w:hAnsi="Times New Roman"/>
          <w:sz w:val="22"/>
          <w:szCs w:val="22"/>
          <w:lang w:val="en-GB" w:eastAsia="zh-CN"/>
        </w:rPr>
        <w:t>[2]</w:t>
      </w:r>
      <w:r w:rsidR="00F528C8">
        <w:rPr>
          <w:rFonts w:ascii="Times New Roman" w:hAnsi="Times New Roman"/>
          <w:sz w:val="22"/>
          <w:szCs w:val="22"/>
          <w:lang w:val="en-GB" w:eastAsia="zh-CN"/>
        </w:rPr>
        <w:fldChar w:fldCharType="end"/>
      </w:r>
      <w:r w:rsidR="00F528C8">
        <w:rPr>
          <w:rFonts w:ascii="Times New Roman" w:hAnsi="Times New Roman"/>
          <w:sz w:val="22"/>
          <w:szCs w:val="22"/>
          <w:lang w:val="en-GB" w:eastAsia="zh-CN"/>
        </w:rPr>
        <w:t>. In this contribution, we provide our thoughts on the approximate data rate formula and related signalling parameters.</w:t>
      </w:r>
    </w:p>
    <w:p w14:paraId="7A28CC92" w14:textId="77777777" w:rsidR="009C3809" w:rsidRPr="000239D0" w:rsidRDefault="009C3809" w:rsidP="00D830A1">
      <w:pPr>
        <w:pStyle w:val="BodyText"/>
        <w:spacing w:before="240"/>
        <w:jc w:val="left"/>
        <w:rPr>
          <w:rFonts w:ascii="Times New Roman" w:hAnsi="Times New Roman"/>
          <w:sz w:val="22"/>
          <w:szCs w:val="22"/>
          <w:lang w:val="en-GB" w:eastAsia="zh-CN"/>
        </w:rPr>
      </w:pPr>
    </w:p>
    <w:p w14:paraId="1EB0B07C" w14:textId="5E262857" w:rsidR="00047FDA" w:rsidRPr="001E03C4" w:rsidRDefault="00C361CD" w:rsidP="00047FDA">
      <w:pPr>
        <w:pStyle w:val="Heading1"/>
        <w:numPr>
          <w:ilvl w:val="0"/>
          <w:numId w:val="2"/>
        </w:numPr>
        <w:ind w:left="360"/>
        <w:rPr>
          <w:rFonts w:cs="Arial"/>
          <w:sz w:val="32"/>
          <w:szCs w:val="32"/>
          <w:lang w:val="en-US"/>
        </w:rPr>
      </w:pPr>
      <w:r w:rsidRPr="000239D0">
        <w:rPr>
          <w:rFonts w:ascii="Times New Roman" w:hAnsi="Times New Roman"/>
          <w:sz w:val="22"/>
          <w:szCs w:val="22"/>
          <w:lang w:eastAsia="zh-CN"/>
        </w:rPr>
        <w:t xml:space="preserve"> </w:t>
      </w:r>
      <w:r w:rsidR="00F938F4">
        <w:rPr>
          <w:rFonts w:cs="Arial"/>
          <w:sz w:val="32"/>
          <w:szCs w:val="32"/>
          <w:lang w:val="en-US"/>
        </w:rPr>
        <w:t>Discussion</w:t>
      </w:r>
      <w:r w:rsidR="009024C4">
        <w:rPr>
          <w:rFonts w:cs="Arial"/>
          <w:sz w:val="32"/>
          <w:szCs w:val="32"/>
          <w:lang w:val="en-US"/>
        </w:rPr>
        <w:t xml:space="preserve"> on Scaling Factor</w:t>
      </w:r>
    </w:p>
    <w:p w14:paraId="02723D56" w14:textId="77777777" w:rsidR="00A22479" w:rsidRDefault="008128AD" w:rsidP="0070328C">
      <w:pPr>
        <w:pStyle w:val="BodyText"/>
        <w:spacing w:before="240"/>
        <w:rPr>
          <w:rFonts w:eastAsiaTheme="minorEastAsia"/>
          <w:color w:val="000000" w:themeColor="text1"/>
          <w:sz w:val="22"/>
          <w:szCs w:val="22"/>
          <w:lang w:eastAsia="ko-KR"/>
        </w:rPr>
      </w:pPr>
      <w:r>
        <w:rPr>
          <w:rFonts w:eastAsiaTheme="minorEastAsia"/>
          <w:color w:val="000000" w:themeColor="text1"/>
          <w:sz w:val="22"/>
          <w:szCs w:val="22"/>
          <w:lang w:eastAsia="ko-KR"/>
        </w:rPr>
        <w:t xml:space="preserve">The </w:t>
      </w:r>
      <w:r w:rsidR="00E27464">
        <w:rPr>
          <w:rFonts w:eastAsiaTheme="minorEastAsia"/>
          <w:color w:val="000000" w:themeColor="text1"/>
          <w:sz w:val="22"/>
          <w:szCs w:val="22"/>
          <w:lang w:eastAsia="ko-KR"/>
        </w:rPr>
        <w:t>first</w:t>
      </w:r>
      <w:r>
        <w:rPr>
          <w:rFonts w:eastAsiaTheme="minorEastAsia"/>
          <w:color w:val="000000" w:themeColor="text1"/>
          <w:sz w:val="22"/>
          <w:szCs w:val="22"/>
          <w:lang w:eastAsia="ko-KR"/>
        </w:rPr>
        <w:t xml:space="preserve"> </w:t>
      </w:r>
      <w:r w:rsidR="0070328C" w:rsidRPr="0070328C">
        <w:rPr>
          <w:rFonts w:eastAsiaTheme="minorEastAsia"/>
          <w:color w:val="000000" w:themeColor="text1"/>
          <w:sz w:val="22"/>
          <w:szCs w:val="22"/>
          <w:lang w:eastAsia="ko-KR"/>
        </w:rPr>
        <w:t>use case for the down scaling factor is when UE needs to compute EN-DC data rates. For UEs that share hardware resources between NR and LTE, the aggregate maximum data rate achievable could be different depending on NR SA operation and NR-LTE DC operation.</w:t>
      </w:r>
      <w:r w:rsidR="00151926">
        <w:rPr>
          <w:rFonts w:eastAsiaTheme="minorEastAsia"/>
          <w:color w:val="000000" w:themeColor="text1"/>
          <w:sz w:val="22"/>
          <w:szCs w:val="22"/>
          <w:lang w:eastAsia="ko-KR"/>
        </w:rPr>
        <w:t xml:space="preserve"> </w:t>
      </w:r>
    </w:p>
    <w:p w14:paraId="4E5C22CC" w14:textId="6899E0DC" w:rsidR="000973C6" w:rsidRDefault="00A22479" w:rsidP="009024C4">
      <w:pPr>
        <w:pStyle w:val="BodyText"/>
        <w:spacing w:before="240"/>
        <w:jc w:val="left"/>
        <w:rPr>
          <w:rFonts w:eastAsiaTheme="minorEastAsia"/>
          <w:color w:val="000000" w:themeColor="text1"/>
          <w:sz w:val="22"/>
          <w:szCs w:val="22"/>
          <w:lang w:eastAsia="ko-KR"/>
        </w:rPr>
      </w:pPr>
      <w:r w:rsidRPr="00A22479">
        <w:rPr>
          <w:rFonts w:eastAsiaTheme="minorEastAsia"/>
          <w:color w:val="000000" w:themeColor="text1"/>
          <w:sz w:val="22"/>
          <w:szCs w:val="22"/>
          <w:lang w:eastAsia="ko-KR"/>
        </w:rPr>
        <w:t>For example, UE that is operating i</w:t>
      </w:r>
      <w:r w:rsidR="00D30924">
        <w:rPr>
          <w:rFonts w:eastAsiaTheme="minorEastAsia"/>
          <w:color w:val="000000" w:themeColor="text1"/>
          <w:sz w:val="22"/>
          <w:szCs w:val="22"/>
          <w:lang w:eastAsia="ko-KR"/>
        </w:rPr>
        <w:t xml:space="preserve">n NR SA with 4 </w:t>
      </w:r>
      <w:r w:rsidR="00612C0D">
        <w:rPr>
          <w:rFonts w:eastAsiaTheme="minorEastAsia"/>
          <w:color w:val="000000" w:themeColor="text1"/>
          <w:sz w:val="22"/>
          <w:szCs w:val="22"/>
          <w:lang w:eastAsia="ko-KR"/>
        </w:rPr>
        <w:t xml:space="preserve">NR </w:t>
      </w:r>
      <w:r w:rsidR="00D30924">
        <w:rPr>
          <w:rFonts w:eastAsiaTheme="minorEastAsia"/>
          <w:color w:val="000000" w:themeColor="text1"/>
          <w:sz w:val="22"/>
          <w:szCs w:val="22"/>
          <w:lang w:eastAsia="ko-KR"/>
        </w:rPr>
        <w:t>CCs, each with 5</w:t>
      </w:r>
      <w:r w:rsidRPr="00A22479">
        <w:rPr>
          <w:rFonts w:eastAsiaTheme="minorEastAsia"/>
          <w:color w:val="000000" w:themeColor="text1"/>
          <w:sz w:val="22"/>
          <w:szCs w:val="22"/>
          <w:lang w:eastAsia="ko-KR"/>
        </w:rPr>
        <w:t>0 MHz, 2x2 MIMO, and with 64</w:t>
      </w:r>
      <w:r w:rsidR="00D30924">
        <w:rPr>
          <w:rFonts w:eastAsiaTheme="minorEastAsia"/>
          <w:color w:val="000000" w:themeColor="text1"/>
          <w:sz w:val="22"/>
          <w:szCs w:val="22"/>
          <w:lang w:eastAsia="ko-KR"/>
        </w:rPr>
        <w:t xml:space="preserve"> QAM in the DL</w:t>
      </w:r>
      <w:r w:rsidR="00612C0D">
        <w:rPr>
          <w:rFonts w:eastAsiaTheme="minorEastAsia"/>
          <w:color w:val="000000" w:themeColor="text1"/>
          <w:sz w:val="22"/>
          <w:szCs w:val="22"/>
          <w:lang w:eastAsia="ko-KR"/>
        </w:rPr>
        <w:t xml:space="preserve"> operating in FR2</w:t>
      </w:r>
      <w:r w:rsidR="00D30924">
        <w:rPr>
          <w:rFonts w:eastAsiaTheme="minorEastAsia"/>
          <w:color w:val="000000" w:themeColor="text1"/>
          <w:sz w:val="22"/>
          <w:szCs w:val="22"/>
          <w:lang w:eastAsia="ko-KR"/>
        </w:rPr>
        <w:t>, would result in 1.616</w:t>
      </w:r>
      <w:r w:rsidRPr="00A22479">
        <w:rPr>
          <w:rFonts w:eastAsiaTheme="minorEastAsia"/>
          <w:color w:val="000000" w:themeColor="text1"/>
          <w:sz w:val="22"/>
          <w:szCs w:val="22"/>
          <w:lang w:eastAsia="ko-KR"/>
        </w:rPr>
        <w:t xml:space="preserve"> Gbps data rate with scaling value of 1.0.</w:t>
      </w:r>
      <w:r w:rsidR="00D30924">
        <w:rPr>
          <w:rFonts w:eastAsiaTheme="minorEastAsia"/>
          <w:color w:val="000000" w:themeColor="text1"/>
          <w:sz w:val="22"/>
          <w:szCs w:val="22"/>
          <w:lang w:eastAsia="ko-KR"/>
        </w:rPr>
        <w:t xml:space="preserve"> This would </w:t>
      </w:r>
      <w:r w:rsidR="00612C0D">
        <w:rPr>
          <w:rFonts w:eastAsiaTheme="minorEastAsia"/>
          <w:color w:val="000000" w:themeColor="text1"/>
          <w:sz w:val="22"/>
          <w:szCs w:val="22"/>
          <w:lang w:eastAsia="ko-KR"/>
        </w:rPr>
        <w:t>be able to be supported with similar hardware capability as LTE Cat. 20, which support 2 Gbps throughput.</w:t>
      </w:r>
      <w:r w:rsidRPr="00A22479">
        <w:rPr>
          <w:rFonts w:eastAsiaTheme="minorEastAsia"/>
          <w:color w:val="000000" w:themeColor="text1"/>
          <w:sz w:val="22"/>
          <w:szCs w:val="22"/>
          <w:lang w:eastAsia="ko-KR"/>
        </w:rPr>
        <w:t xml:space="preserve"> However, if the same UE is operating NR-LTE DC, with a </w:t>
      </w:r>
      <w:r w:rsidR="00612C0D">
        <w:rPr>
          <w:rFonts w:eastAsiaTheme="minorEastAsia"/>
          <w:color w:val="000000" w:themeColor="text1"/>
          <w:sz w:val="22"/>
          <w:szCs w:val="22"/>
          <w:lang w:eastAsia="ko-KR"/>
        </w:rPr>
        <w:t xml:space="preserve">2 </w:t>
      </w:r>
      <w:r w:rsidRPr="00A22479">
        <w:rPr>
          <w:rFonts w:eastAsiaTheme="minorEastAsia"/>
          <w:color w:val="000000" w:themeColor="text1"/>
          <w:sz w:val="22"/>
          <w:szCs w:val="22"/>
          <w:lang w:eastAsia="ko-KR"/>
        </w:rPr>
        <w:t xml:space="preserve">LTE CCs with 4x4 MIMO and 256 QAM </w:t>
      </w:r>
      <w:r w:rsidR="00612C0D">
        <w:rPr>
          <w:rFonts w:eastAsiaTheme="minorEastAsia"/>
          <w:color w:val="000000" w:themeColor="text1"/>
          <w:sz w:val="22"/>
          <w:szCs w:val="22"/>
          <w:lang w:eastAsia="ko-KR"/>
        </w:rPr>
        <w:t xml:space="preserve">operating in FR1 </w:t>
      </w:r>
      <w:r w:rsidRPr="00A22479">
        <w:rPr>
          <w:rFonts w:eastAsiaTheme="minorEastAsia"/>
          <w:color w:val="000000" w:themeColor="text1"/>
          <w:sz w:val="22"/>
          <w:szCs w:val="22"/>
          <w:lang w:eastAsia="ko-KR"/>
        </w:rPr>
        <w:t>in addition to NR 4 CCs</w:t>
      </w:r>
      <w:r w:rsidR="00612C0D">
        <w:rPr>
          <w:rFonts w:eastAsiaTheme="minorEastAsia"/>
          <w:color w:val="000000" w:themeColor="text1"/>
          <w:sz w:val="22"/>
          <w:szCs w:val="22"/>
          <w:lang w:eastAsia="ko-KR"/>
        </w:rPr>
        <w:t xml:space="preserve"> operating in FR2</w:t>
      </w:r>
      <w:r w:rsidRPr="00A22479">
        <w:rPr>
          <w:rFonts w:eastAsiaTheme="minorEastAsia"/>
          <w:color w:val="000000" w:themeColor="text1"/>
          <w:sz w:val="22"/>
          <w:szCs w:val="22"/>
          <w:lang w:eastAsia="ko-KR"/>
        </w:rPr>
        <w:t xml:space="preserve">, the overall data rate would exceed </w:t>
      </w:r>
      <w:r w:rsidR="00612C0D">
        <w:rPr>
          <w:rFonts w:eastAsiaTheme="minorEastAsia"/>
          <w:color w:val="000000" w:themeColor="text1"/>
          <w:sz w:val="22"/>
          <w:szCs w:val="22"/>
          <w:lang w:eastAsia="ko-KR"/>
        </w:rPr>
        <w:t>2.39</w:t>
      </w:r>
      <w:r w:rsidRPr="00A22479">
        <w:rPr>
          <w:rFonts w:eastAsiaTheme="minorEastAsia"/>
          <w:color w:val="000000" w:themeColor="text1"/>
          <w:sz w:val="22"/>
          <w:szCs w:val="22"/>
          <w:lang w:eastAsia="ko-KR"/>
        </w:rPr>
        <w:t xml:space="preserve"> Gbps. The number of carrie</w:t>
      </w:r>
      <w:r w:rsidR="00333AA1">
        <w:rPr>
          <w:rFonts w:eastAsiaTheme="minorEastAsia"/>
          <w:color w:val="000000" w:themeColor="text1"/>
          <w:sz w:val="22"/>
          <w:szCs w:val="22"/>
          <w:lang w:eastAsia="ko-KR"/>
        </w:rPr>
        <w:t xml:space="preserve">rs in NR-LTE have increased, but </w:t>
      </w:r>
      <w:r w:rsidRPr="00A22479">
        <w:rPr>
          <w:rFonts w:eastAsiaTheme="minorEastAsia"/>
          <w:color w:val="000000" w:themeColor="text1"/>
          <w:sz w:val="22"/>
          <w:szCs w:val="22"/>
          <w:lang w:eastAsia="ko-KR"/>
        </w:rPr>
        <w:t>due to sharing of hardware resources between LTE and NR, the corresponding data-rate increase may not scale linearly with increasing carriers.</w:t>
      </w:r>
      <w:r w:rsidR="008D0EE3">
        <w:rPr>
          <w:rFonts w:eastAsiaTheme="minorEastAsia"/>
          <w:color w:val="000000" w:themeColor="text1"/>
          <w:sz w:val="22"/>
          <w:szCs w:val="22"/>
          <w:lang w:eastAsia="ko-KR"/>
        </w:rPr>
        <w:t xml:space="preserve"> </w:t>
      </w:r>
      <w:r w:rsidRPr="00A22479">
        <w:rPr>
          <w:rFonts w:eastAsiaTheme="minorEastAsia"/>
          <w:color w:val="000000" w:themeColor="text1"/>
          <w:sz w:val="22"/>
          <w:szCs w:val="22"/>
          <w:lang w:eastAsia="ko-KR"/>
        </w:rPr>
        <w:t>If scaling factor 0.</w:t>
      </w:r>
      <w:r w:rsidR="00612C0D">
        <w:rPr>
          <w:rFonts w:eastAsiaTheme="minorEastAsia"/>
          <w:color w:val="000000" w:themeColor="text1"/>
          <w:sz w:val="22"/>
          <w:szCs w:val="22"/>
          <w:lang w:eastAsia="ko-KR"/>
        </w:rPr>
        <w:t>8</w:t>
      </w:r>
      <w:r w:rsidRPr="00A22479">
        <w:rPr>
          <w:rFonts w:eastAsiaTheme="minorEastAsia"/>
          <w:color w:val="000000" w:themeColor="text1"/>
          <w:sz w:val="22"/>
          <w:szCs w:val="22"/>
          <w:lang w:eastAsia="ko-KR"/>
        </w:rPr>
        <w:t xml:space="preserve"> is applied to NR maximum data rates, the total overall throughput of NR a</w:t>
      </w:r>
      <w:r w:rsidR="00612C0D">
        <w:rPr>
          <w:rFonts w:eastAsiaTheme="minorEastAsia"/>
          <w:color w:val="000000" w:themeColor="text1"/>
          <w:sz w:val="22"/>
          <w:szCs w:val="22"/>
          <w:lang w:eastAsia="ko-KR"/>
        </w:rPr>
        <w:t>nd LTE could be limited to 2.07</w:t>
      </w:r>
      <w:r w:rsidRPr="00A22479">
        <w:rPr>
          <w:rFonts w:eastAsiaTheme="minorEastAsia"/>
          <w:color w:val="000000" w:themeColor="text1"/>
          <w:sz w:val="22"/>
          <w:szCs w:val="22"/>
          <w:lang w:eastAsia="ko-KR"/>
        </w:rPr>
        <w:t xml:space="preserve"> Gbps, which could be handled by a UE </w:t>
      </w:r>
      <w:r w:rsidR="00612C0D">
        <w:rPr>
          <w:rFonts w:eastAsiaTheme="minorEastAsia"/>
          <w:color w:val="000000" w:themeColor="text1"/>
          <w:sz w:val="22"/>
          <w:szCs w:val="22"/>
          <w:lang w:eastAsia="ko-KR"/>
        </w:rPr>
        <w:t>similar hardware capability as LTE Cat. 20</w:t>
      </w:r>
      <w:r w:rsidRPr="00A22479">
        <w:rPr>
          <w:rFonts w:eastAsiaTheme="minorEastAsia"/>
          <w:color w:val="000000" w:themeColor="text1"/>
          <w:sz w:val="22"/>
          <w:szCs w:val="22"/>
          <w:lang w:eastAsia="ko-KR"/>
        </w:rPr>
        <w:t>.</w:t>
      </w:r>
      <w:r>
        <w:rPr>
          <w:rFonts w:eastAsiaTheme="minorEastAsia"/>
          <w:color w:val="000000" w:themeColor="text1"/>
          <w:sz w:val="22"/>
          <w:szCs w:val="22"/>
          <w:lang w:eastAsia="ko-KR"/>
        </w:rPr>
        <w:t xml:space="preserve"> </w:t>
      </w:r>
      <w:r w:rsidR="00612C0D">
        <w:rPr>
          <w:rFonts w:eastAsiaTheme="minorEastAsia"/>
          <w:color w:val="000000" w:themeColor="text1"/>
          <w:sz w:val="22"/>
          <w:szCs w:val="22"/>
          <w:lang w:eastAsia="ko-KR"/>
        </w:rPr>
        <w:t xml:space="preserve">If scaling factor 0.75 is applied to NR maximum data rates, </w:t>
      </w:r>
      <w:r w:rsidR="00612C0D" w:rsidRPr="00A22479">
        <w:rPr>
          <w:rFonts w:eastAsiaTheme="minorEastAsia"/>
          <w:color w:val="000000" w:themeColor="text1"/>
          <w:sz w:val="22"/>
          <w:szCs w:val="22"/>
          <w:lang w:eastAsia="ko-KR"/>
        </w:rPr>
        <w:t>the total overall throughput of NR a</w:t>
      </w:r>
      <w:r w:rsidR="00612C0D">
        <w:rPr>
          <w:rFonts w:eastAsiaTheme="minorEastAsia"/>
          <w:color w:val="000000" w:themeColor="text1"/>
          <w:sz w:val="22"/>
          <w:szCs w:val="22"/>
          <w:lang w:eastAsia="ko-KR"/>
        </w:rPr>
        <w:t>nd LTE could be limited to 1.99</w:t>
      </w:r>
      <w:r w:rsidR="00612C0D" w:rsidRPr="00A22479">
        <w:rPr>
          <w:rFonts w:eastAsiaTheme="minorEastAsia"/>
          <w:color w:val="000000" w:themeColor="text1"/>
          <w:sz w:val="22"/>
          <w:szCs w:val="22"/>
          <w:lang w:eastAsia="ko-KR"/>
        </w:rPr>
        <w:t xml:space="preserve"> Gbps</w:t>
      </w:r>
      <w:r w:rsidR="00612C0D">
        <w:rPr>
          <w:rFonts w:eastAsiaTheme="minorEastAsia"/>
          <w:color w:val="000000" w:themeColor="text1"/>
          <w:sz w:val="22"/>
          <w:szCs w:val="22"/>
          <w:lang w:eastAsia="ko-KR"/>
        </w:rPr>
        <w:t>, which undermines the hardware capability of the NR device and would not be appropriate for marketing.</w:t>
      </w:r>
    </w:p>
    <w:p w14:paraId="5463D74B" w14:textId="490855C0" w:rsidR="000973C6" w:rsidRDefault="00764782" w:rsidP="009024C4">
      <w:pPr>
        <w:pStyle w:val="BodyText"/>
        <w:spacing w:before="240"/>
        <w:jc w:val="left"/>
        <w:rPr>
          <w:rFonts w:eastAsiaTheme="minorEastAsia"/>
          <w:color w:val="000000" w:themeColor="text1"/>
          <w:sz w:val="22"/>
          <w:szCs w:val="22"/>
          <w:lang w:eastAsia="ko-KR"/>
        </w:rPr>
      </w:pPr>
      <w:r>
        <w:rPr>
          <w:rFonts w:eastAsiaTheme="minorEastAsia"/>
          <w:color w:val="000000" w:themeColor="text1"/>
          <w:sz w:val="22"/>
          <w:szCs w:val="22"/>
          <w:lang w:eastAsia="ko-KR"/>
        </w:rPr>
        <w:t>So, i</w:t>
      </w:r>
      <w:r w:rsidR="0070328C" w:rsidRPr="0070328C">
        <w:rPr>
          <w:rFonts w:eastAsiaTheme="minorEastAsia"/>
          <w:color w:val="000000" w:themeColor="text1"/>
          <w:sz w:val="22"/>
          <w:szCs w:val="22"/>
          <w:lang w:eastAsia="ko-KR"/>
        </w:rPr>
        <w:t>t should be noted that support of only 1 and 0.75 for the scaling factor may cause gaps between the maximum data rate the UE can</w:t>
      </w:r>
      <w:r w:rsidR="004F7FE8">
        <w:rPr>
          <w:rFonts w:eastAsiaTheme="minorEastAsia"/>
          <w:color w:val="000000" w:themeColor="text1"/>
          <w:sz w:val="22"/>
          <w:szCs w:val="22"/>
          <w:lang w:eastAsia="ko-KR"/>
        </w:rPr>
        <w:t xml:space="preserve"> support and what can be signal</w:t>
      </w:r>
      <w:r w:rsidR="0070328C" w:rsidRPr="0070328C">
        <w:rPr>
          <w:rFonts w:eastAsiaTheme="minorEastAsia"/>
          <w:color w:val="000000" w:themeColor="text1"/>
          <w:sz w:val="22"/>
          <w:szCs w:val="22"/>
          <w:lang w:eastAsia="ko-KR"/>
        </w:rPr>
        <w:t>ed in NR</w:t>
      </w:r>
      <w:r w:rsidR="008D0EE3">
        <w:rPr>
          <w:rFonts w:eastAsiaTheme="minorEastAsia"/>
          <w:color w:val="000000" w:themeColor="text1"/>
          <w:sz w:val="22"/>
          <w:szCs w:val="22"/>
          <w:lang w:eastAsia="ko-KR"/>
        </w:rPr>
        <w:t>. There are significant incentives (both performance and marketing) to support various scaling factors</w:t>
      </w:r>
      <w:r w:rsidR="0070328C" w:rsidRPr="0070328C">
        <w:rPr>
          <w:rFonts w:eastAsiaTheme="minorEastAsia"/>
          <w:color w:val="000000" w:themeColor="text1"/>
          <w:sz w:val="22"/>
          <w:szCs w:val="22"/>
          <w:lang w:eastAsia="ko-KR"/>
        </w:rPr>
        <w:t xml:space="preserve">. Therefore, </w:t>
      </w:r>
      <w:r w:rsidR="00151926">
        <w:rPr>
          <w:rFonts w:eastAsiaTheme="minorEastAsia"/>
          <w:color w:val="000000" w:themeColor="text1"/>
          <w:sz w:val="22"/>
          <w:szCs w:val="22"/>
          <w:lang w:eastAsia="ko-KR"/>
        </w:rPr>
        <w:t>we recommend that RAN1 to</w:t>
      </w:r>
      <w:r w:rsidR="0070328C" w:rsidRPr="0070328C">
        <w:rPr>
          <w:rFonts w:eastAsiaTheme="minorEastAsia"/>
          <w:color w:val="000000" w:themeColor="text1"/>
          <w:sz w:val="22"/>
          <w:szCs w:val="22"/>
          <w:lang w:eastAsia="ko-KR"/>
        </w:rPr>
        <w:t xml:space="preserve"> additionally support down scaling values</w:t>
      </w:r>
      <w:r w:rsidR="009024C4">
        <w:rPr>
          <w:rFonts w:eastAsiaTheme="minorEastAsia"/>
          <w:color w:val="000000" w:themeColor="text1"/>
          <w:sz w:val="22"/>
          <w:szCs w:val="22"/>
          <w:lang w:eastAsia="ko-KR"/>
        </w:rPr>
        <w:t xml:space="preserve"> in finer granularity.</w:t>
      </w:r>
    </w:p>
    <w:p w14:paraId="2D07381C" w14:textId="7B340CA6" w:rsidR="000973C6" w:rsidRDefault="00E27464" w:rsidP="00E27464">
      <w:pPr>
        <w:pStyle w:val="BodyText"/>
        <w:spacing w:before="240"/>
        <w:jc w:val="left"/>
        <w:rPr>
          <w:rFonts w:ascii="Times New Roman" w:eastAsiaTheme="minorEastAsia" w:hAnsi="Times New Roman"/>
          <w:sz w:val="22"/>
          <w:szCs w:val="22"/>
          <w:lang w:eastAsia="ko-KR"/>
        </w:rPr>
      </w:pPr>
      <w:r w:rsidRPr="00F528C8">
        <w:rPr>
          <w:rFonts w:ascii="Times New Roman" w:eastAsiaTheme="minorEastAsia" w:hAnsi="Times New Roman"/>
          <w:sz w:val="22"/>
          <w:szCs w:val="22"/>
          <w:lang w:eastAsia="ko-KR"/>
        </w:rPr>
        <w:t>T</w:t>
      </w:r>
      <w:r>
        <w:rPr>
          <w:rFonts w:ascii="Times New Roman" w:eastAsiaTheme="minorEastAsia" w:hAnsi="Times New Roman"/>
          <w:sz w:val="22"/>
          <w:szCs w:val="22"/>
          <w:lang w:eastAsia="ko-KR"/>
        </w:rPr>
        <w:t xml:space="preserve">he </w:t>
      </w:r>
      <w:r w:rsidR="000973C6">
        <w:rPr>
          <w:rFonts w:ascii="Times New Roman" w:eastAsiaTheme="minorEastAsia" w:hAnsi="Times New Roman"/>
          <w:sz w:val="22"/>
          <w:szCs w:val="22"/>
          <w:lang w:eastAsia="ko-KR"/>
        </w:rPr>
        <w:t>second</w:t>
      </w:r>
      <w:r>
        <w:rPr>
          <w:rFonts w:ascii="Times New Roman" w:eastAsiaTheme="minorEastAsia" w:hAnsi="Times New Roman"/>
          <w:sz w:val="22"/>
          <w:szCs w:val="22"/>
          <w:lang w:eastAsia="ko-KR"/>
        </w:rPr>
        <w:t xml:space="preserve"> use case of the scaling factor is to support disparity in RF capability and baseband processing capability. </w:t>
      </w:r>
      <w:r w:rsidR="00333AA1">
        <w:rPr>
          <w:rFonts w:ascii="Times New Roman" w:eastAsiaTheme="minorEastAsia" w:hAnsi="Times New Roman"/>
          <w:sz w:val="22"/>
          <w:szCs w:val="22"/>
          <w:lang w:eastAsia="ko-KR"/>
        </w:rPr>
        <w:t xml:space="preserve">For example, </w:t>
      </w:r>
      <w:r>
        <w:rPr>
          <w:rFonts w:ascii="Times New Roman" w:eastAsiaTheme="minorEastAsia" w:hAnsi="Times New Roman"/>
          <w:sz w:val="22"/>
          <w:szCs w:val="22"/>
          <w:lang w:eastAsia="ko-KR"/>
        </w:rPr>
        <w:t>UE may be able to have good RF capability allowing support of higher order modulations, such as 256 QAM. However, the UE may not able to process the peak data rates associated with 256 QAM, at the largest resource allocations. This does not mean for smaller resource allocations, UE cannot handle 256 QAM, it would be the highest peak data rate that would not be able to be supported.</w:t>
      </w:r>
      <w:r w:rsidR="000973C6">
        <w:rPr>
          <w:rFonts w:ascii="Times New Roman" w:eastAsiaTheme="minorEastAsia" w:hAnsi="Times New Roman"/>
          <w:sz w:val="22"/>
          <w:szCs w:val="22"/>
          <w:lang w:eastAsia="ko-KR"/>
        </w:rPr>
        <w:t>.</w:t>
      </w:r>
      <w:r w:rsidR="00D6186F">
        <w:rPr>
          <w:rFonts w:ascii="Times New Roman" w:eastAsiaTheme="minorEastAsia" w:hAnsi="Times New Roman"/>
          <w:sz w:val="22"/>
          <w:szCs w:val="22"/>
          <w:lang w:eastAsia="ko-KR"/>
        </w:rPr>
        <w:t xml:space="preserve">. </w:t>
      </w:r>
      <w:r w:rsidR="00EE7241">
        <w:rPr>
          <w:rFonts w:ascii="Times New Roman" w:eastAsiaTheme="minorEastAsia" w:hAnsi="Times New Roman"/>
          <w:sz w:val="22"/>
          <w:szCs w:val="22"/>
          <w:lang w:eastAsia="ko-KR"/>
        </w:rPr>
        <w:t xml:space="preserve">In </w:t>
      </w:r>
      <w:r w:rsidR="00D6186F">
        <w:rPr>
          <w:rFonts w:ascii="Times New Roman" w:eastAsiaTheme="minorEastAsia" w:hAnsi="Times New Roman"/>
          <w:sz w:val="22"/>
          <w:szCs w:val="22"/>
          <w:lang w:eastAsia="ko-KR"/>
        </w:rPr>
        <w:t>another example, UE may be able to support 4x4 MIMO layers</w:t>
      </w:r>
      <w:r w:rsidR="008C1E46">
        <w:rPr>
          <w:rFonts w:ascii="Times New Roman" w:eastAsiaTheme="minorEastAsia" w:hAnsi="Times New Roman"/>
          <w:sz w:val="22"/>
          <w:szCs w:val="22"/>
          <w:lang w:eastAsia="ko-KR"/>
        </w:rPr>
        <w:t xml:space="preserve"> in RF domain</w:t>
      </w:r>
      <w:r w:rsidR="00D6186F">
        <w:rPr>
          <w:rFonts w:ascii="Times New Roman" w:eastAsiaTheme="minorEastAsia" w:hAnsi="Times New Roman"/>
          <w:sz w:val="22"/>
          <w:szCs w:val="22"/>
          <w:lang w:eastAsia="ko-KR"/>
        </w:rPr>
        <w:t xml:space="preserve"> but UE may be able to support UE processing capability only corresponding to 2x2 MIMO layers</w:t>
      </w:r>
      <w:r w:rsidR="008C1E46">
        <w:rPr>
          <w:rFonts w:ascii="Times New Roman" w:eastAsiaTheme="minorEastAsia" w:hAnsi="Times New Roman"/>
          <w:sz w:val="22"/>
          <w:szCs w:val="22"/>
          <w:lang w:eastAsia="ko-KR"/>
        </w:rPr>
        <w:t xml:space="preserve"> in BB domain</w:t>
      </w:r>
      <w:r w:rsidR="00D6186F">
        <w:rPr>
          <w:rFonts w:ascii="Times New Roman" w:eastAsiaTheme="minorEastAsia" w:hAnsi="Times New Roman"/>
          <w:sz w:val="22"/>
          <w:szCs w:val="22"/>
          <w:lang w:eastAsia="ko-KR"/>
        </w:rPr>
        <w:t>.</w:t>
      </w:r>
      <w:r w:rsidR="000C5C12">
        <w:rPr>
          <w:rFonts w:ascii="Times New Roman" w:eastAsiaTheme="minorEastAsia" w:hAnsi="Times New Roman"/>
          <w:sz w:val="22"/>
          <w:szCs w:val="22"/>
          <w:lang w:eastAsia="ko-KR"/>
        </w:rPr>
        <w:t xml:space="preserve"> Baseband processing limitation may in the form of supported maximum TBS per slot in the physical layer, maximum number of bits that is able to be processed in higher layers, and combination thereof</w:t>
      </w:r>
    </w:p>
    <w:p w14:paraId="0463192C" w14:textId="0B63263F" w:rsidR="00E27464" w:rsidRDefault="007D3E33" w:rsidP="00E27464">
      <w:pPr>
        <w:pStyle w:val="BodyText"/>
        <w:spacing w:before="24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w:t>
      </w:r>
      <w:r w:rsidR="00E27464">
        <w:rPr>
          <w:rFonts w:ascii="Times New Roman" w:eastAsiaTheme="minorEastAsia" w:hAnsi="Times New Roman"/>
          <w:sz w:val="22"/>
          <w:szCs w:val="22"/>
          <w:lang w:eastAsia="ko-KR"/>
        </w:rPr>
        <w:t>he scaling factor of 0.75 ( = 6/8)</w:t>
      </w:r>
      <w:r>
        <w:rPr>
          <w:rFonts w:ascii="Times New Roman" w:eastAsiaTheme="minorEastAsia" w:hAnsi="Times New Roman"/>
          <w:sz w:val="22"/>
          <w:szCs w:val="22"/>
          <w:lang w:eastAsia="ko-KR"/>
        </w:rPr>
        <w:t xml:space="preserve"> was agreed to support the scaling of</w:t>
      </w:r>
      <w:r w:rsidR="00E27464">
        <w:rPr>
          <w:rFonts w:ascii="Times New Roman" w:eastAsiaTheme="minorEastAsia" w:hAnsi="Times New Roman"/>
          <w:sz w:val="22"/>
          <w:szCs w:val="22"/>
          <w:lang w:eastAsia="ko-KR"/>
        </w:rPr>
        <w:t xml:space="preserve"> maximum peak data rate of 256 QAM to 64 QAM while allowing the UE to support 256 QAM.</w:t>
      </w:r>
      <w:r>
        <w:rPr>
          <w:rFonts w:ascii="Times New Roman" w:eastAsiaTheme="minorEastAsia" w:hAnsi="Times New Roman"/>
          <w:sz w:val="22"/>
          <w:szCs w:val="22"/>
          <w:lang w:eastAsia="ko-KR"/>
        </w:rPr>
        <w:t xml:space="preserve"> However, this only addresses physical layer limitation of the baseband processing and does not address potential limitation of bits that could be processed in upper layers. </w:t>
      </w:r>
      <w:r w:rsidR="00B32690">
        <w:rPr>
          <w:rFonts w:ascii="Times New Roman" w:eastAsiaTheme="minorEastAsia" w:hAnsi="Times New Roman"/>
          <w:sz w:val="22"/>
          <w:szCs w:val="22"/>
          <w:lang w:eastAsia="ko-KR"/>
        </w:rPr>
        <w:t xml:space="preserve">Additionally, it only provides scaling between 256 QAM to 64 QAM. </w:t>
      </w:r>
      <w:r>
        <w:rPr>
          <w:rFonts w:ascii="Times New Roman" w:eastAsiaTheme="minorEastAsia" w:hAnsi="Times New Roman"/>
          <w:sz w:val="22"/>
          <w:szCs w:val="22"/>
          <w:lang w:eastAsia="ko-KR"/>
        </w:rPr>
        <w:t>The processing limitation in the upper layer can be main motivation for having different scaling factor for DL and UL.</w:t>
      </w:r>
      <w:r w:rsidR="00D6186F">
        <w:rPr>
          <w:rFonts w:ascii="Times New Roman" w:eastAsiaTheme="minorEastAsia" w:hAnsi="Times New Roman"/>
          <w:sz w:val="22"/>
          <w:szCs w:val="22"/>
          <w:lang w:eastAsia="ko-KR"/>
        </w:rPr>
        <w:t xml:space="preserve"> </w:t>
      </w:r>
      <w:r w:rsidR="00994F83">
        <w:rPr>
          <w:rFonts w:ascii="Times New Roman" w:eastAsiaTheme="minorEastAsia" w:hAnsi="Times New Roman"/>
          <w:sz w:val="22"/>
          <w:szCs w:val="22"/>
          <w:lang w:eastAsia="ko-KR"/>
        </w:rPr>
        <w:t>The following are other scaling factors that should be supported:</w:t>
      </w:r>
    </w:p>
    <w:p w14:paraId="5AC304C9" w14:textId="3DA98E65" w:rsidR="00994F83" w:rsidRDefault="00994F83" w:rsidP="00994F83">
      <w:pPr>
        <w:pStyle w:val="BodyText"/>
        <w:numPr>
          <w:ilvl w:val="0"/>
          <w:numId w:val="45"/>
        </w:numPr>
        <w:spacing w:before="12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1024 QAM to 256 QAM baseband peak data rate limitation: 8 / 10 = 0.8</w:t>
      </w:r>
    </w:p>
    <w:p w14:paraId="3C2C526E" w14:textId="7F1BD90B" w:rsidR="00994F83" w:rsidRDefault="00994F83" w:rsidP="00994F83">
      <w:pPr>
        <w:pStyle w:val="BodyText"/>
        <w:numPr>
          <w:ilvl w:val="0"/>
          <w:numId w:val="45"/>
        </w:numPr>
        <w:spacing w:before="12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256 QAM to 64 QAM baseband peak data rate limitation: 6 / 8 = 0.75</w:t>
      </w:r>
    </w:p>
    <w:p w14:paraId="352805DB" w14:textId="6FC073F0" w:rsidR="00994F83" w:rsidRDefault="00994F83" w:rsidP="00994F83">
      <w:pPr>
        <w:pStyle w:val="BodyText"/>
        <w:numPr>
          <w:ilvl w:val="0"/>
          <w:numId w:val="45"/>
        </w:numPr>
        <w:spacing w:before="12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64 QAM to 16 QAM baseband peak data rate limitation: 4 / 6 ≈ 0.67</w:t>
      </w:r>
    </w:p>
    <w:p w14:paraId="1222C46A" w14:textId="64494E7C" w:rsidR="00285A76" w:rsidRDefault="00285A76" w:rsidP="00285A76">
      <w:pPr>
        <w:pStyle w:val="BodyText"/>
        <w:numPr>
          <w:ilvl w:val="0"/>
          <w:numId w:val="45"/>
        </w:numPr>
        <w:spacing w:before="12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1024 QAM to 64 QAM baseband peak data rate limitation: 6 / 10 = 0.6</w:t>
      </w:r>
    </w:p>
    <w:p w14:paraId="6A626F82" w14:textId="30F7A8C6" w:rsidR="00994F83" w:rsidRDefault="00994F83" w:rsidP="00994F83">
      <w:pPr>
        <w:pStyle w:val="BodyText"/>
        <w:numPr>
          <w:ilvl w:val="0"/>
          <w:numId w:val="45"/>
        </w:numPr>
        <w:spacing w:before="12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256 QAM to 16 QAM </w:t>
      </w:r>
      <w:r w:rsidR="00D62BD6">
        <w:rPr>
          <w:rFonts w:eastAsia="Malgun Gothic"/>
          <w:lang w:eastAsia="ko-KR"/>
        </w:rPr>
        <w:t xml:space="preserve">(or 16 QAM to QPSK) </w:t>
      </w:r>
      <w:r>
        <w:rPr>
          <w:rFonts w:ascii="Times New Roman" w:eastAsiaTheme="minorEastAsia" w:hAnsi="Times New Roman"/>
          <w:sz w:val="22"/>
          <w:szCs w:val="22"/>
          <w:lang w:eastAsia="ko-KR"/>
        </w:rPr>
        <w:t>baseband peak data rate limitation: 4 / 8 = 0.5</w:t>
      </w:r>
    </w:p>
    <w:p w14:paraId="5F66EDA4" w14:textId="03F2587C" w:rsidR="005A61EC" w:rsidRDefault="005A61EC" w:rsidP="005A61EC">
      <w:pPr>
        <w:pStyle w:val="BodyText"/>
        <w:numPr>
          <w:ilvl w:val="0"/>
          <w:numId w:val="45"/>
        </w:numPr>
        <w:spacing w:before="12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1024 QAM to 16 QAM baseband peak data rate limitation: 4 / 10 = 0.4</w:t>
      </w:r>
    </w:p>
    <w:p w14:paraId="6BD89E49" w14:textId="77777777" w:rsidR="005A61EC" w:rsidRPr="00F528C8" w:rsidRDefault="005A61EC" w:rsidP="004E0019">
      <w:pPr>
        <w:pStyle w:val="BodyText"/>
        <w:spacing w:before="120" w:after="0"/>
        <w:jc w:val="left"/>
        <w:rPr>
          <w:rFonts w:ascii="Times New Roman" w:eastAsiaTheme="minorEastAsia" w:hAnsi="Times New Roman"/>
          <w:sz w:val="22"/>
          <w:szCs w:val="22"/>
          <w:lang w:eastAsia="ko-KR"/>
        </w:rPr>
      </w:pPr>
    </w:p>
    <w:p w14:paraId="21DF45D5" w14:textId="6F885DB6" w:rsidR="002D7433" w:rsidRDefault="002D7433" w:rsidP="00333AA1">
      <w:pPr>
        <w:pStyle w:val="BodyText"/>
        <w:spacing w:before="240"/>
        <w:jc w:val="left"/>
        <w:rPr>
          <w:rFonts w:eastAsiaTheme="minorEastAsia"/>
          <w:color w:val="000000" w:themeColor="text1"/>
          <w:sz w:val="22"/>
          <w:szCs w:val="22"/>
          <w:lang w:eastAsia="ko-KR"/>
        </w:rPr>
      </w:pPr>
      <w:r>
        <w:rPr>
          <w:rFonts w:eastAsiaTheme="minorEastAsia"/>
          <w:color w:val="000000" w:themeColor="text1"/>
          <w:sz w:val="22"/>
          <w:szCs w:val="22"/>
          <w:lang w:eastAsia="ko-KR"/>
        </w:rPr>
        <w:t>It should be noted that 1024 QAM is not currently supported in NR Rel-15. However, given that LTE support 1024 QAM, it would be inevitable for NR to support similar spectral efficiencies as well in later releases. Therefore, for future-proofing, it would be preferable to support this scaling factor value in Rel-15.</w:t>
      </w:r>
    </w:p>
    <w:p w14:paraId="6049780A" w14:textId="51DBF09C" w:rsidR="00D0569C" w:rsidRDefault="009024C4" w:rsidP="00333AA1">
      <w:pPr>
        <w:pStyle w:val="BodyText"/>
        <w:spacing w:before="240"/>
        <w:jc w:val="left"/>
        <w:rPr>
          <w:rFonts w:eastAsiaTheme="minorEastAsia"/>
          <w:color w:val="000000" w:themeColor="text1"/>
          <w:sz w:val="22"/>
          <w:szCs w:val="22"/>
          <w:lang w:eastAsia="ko-KR"/>
        </w:rPr>
      </w:pPr>
      <w:r>
        <w:rPr>
          <w:rFonts w:eastAsiaTheme="minorEastAsia"/>
          <w:color w:val="000000" w:themeColor="text1"/>
          <w:sz w:val="22"/>
          <w:szCs w:val="22"/>
          <w:lang w:eastAsia="ko-KR"/>
        </w:rPr>
        <w:t>Based on use cases of the</w:t>
      </w:r>
      <w:r w:rsidR="003A6F04">
        <w:rPr>
          <w:rFonts w:eastAsiaTheme="minorEastAsia"/>
          <w:color w:val="000000" w:themeColor="text1"/>
          <w:sz w:val="22"/>
          <w:szCs w:val="22"/>
          <w:lang w:eastAsia="ko-KR"/>
        </w:rPr>
        <w:t xml:space="preserve"> down scaling factor</w:t>
      </w:r>
      <w:r>
        <w:rPr>
          <w:rFonts w:eastAsiaTheme="minorEastAsia"/>
          <w:color w:val="000000" w:themeColor="text1"/>
          <w:sz w:val="22"/>
          <w:szCs w:val="22"/>
          <w:lang w:eastAsia="ko-KR"/>
        </w:rPr>
        <w:t>, support of separate down scaling factor for DL and UL seems critical. To that extent we proposal to support</w:t>
      </w:r>
      <w:r w:rsidR="00994F83">
        <w:rPr>
          <w:rFonts w:eastAsiaTheme="minorEastAsia"/>
          <w:color w:val="000000" w:themeColor="text1"/>
          <w:sz w:val="22"/>
          <w:szCs w:val="22"/>
          <w:lang w:eastAsia="ko-KR"/>
        </w:rPr>
        <w:t xml:space="preserve"> scaling fac</w:t>
      </w:r>
      <w:r w:rsidR="002D7433">
        <w:rPr>
          <w:rFonts w:eastAsiaTheme="minorEastAsia"/>
          <w:color w:val="000000" w:themeColor="text1"/>
          <w:sz w:val="22"/>
          <w:szCs w:val="22"/>
          <w:lang w:eastAsia="ko-KR"/>
        </w:rPr>
        <w:t xml:space="preserve">tor to support values {1, 0.8, 0.75, 0.67, </w:t>
      </w:r>
      <w:r w:rsidR="00276831">
        <w:rPr>
          <w:rFonts w:eastAsiaTheme="minorEastAsia"/>
          <w:color w:val="000000" w:themeColor="text1"/>
          <w:sz w:val="22"/>
          <w:szCs w:val="22"/>
          <w:lang w:eastAsia="ko-KR"/>
        </w:rPr>
        <w:t xml:space="preserve">0.6, </w:t>
      </w:r>
      <w:r w:rsidR="002D7433">
        <w:rPr>
          <w:rFonts w:eastAsiaTheme="minorEastAsia"/>
          <w:color w:val="000000" w:themeColor="text1"/>
          <w:sz w:val="22"/>
          <w:szCs w:val="22"/>
          <w:lang w:eastAsia="ko-KR"/>
        </w:rPr>
        <w:t>0.5</w:t>
      </w:r>
      <w:r w:rsidR="00470EE3">
        <w:rPr>
          <w:rFonts w:eastAsiaTheme="minorEastAsia"/>
          <w:color w:val="000000" w:themeColor="text1"/>
          <w:sz w:val="22"/>
          <w:szCs w:val="22"/>
          <w:lang w:eastAsia="ko-KR"/>
        </w:rPr>
        <w:t>, 0.4</w:t>
      </w:r>
      <w:r w:rsidR="002D7433">
        <w:rPr>
          <w:rFonts w:eastAsiaTheme="minorEastAsia"/>
          <w:color w:val="000000" w:themeColor="text1"/>
          <w:sz w:val="22"/>
          <w:szCs w:val="22"/>
          <w:lang w:eastAsia="ko-KR"/>
        </w:rPr>
        <w:t xml:space="preserve">}. </w:t>
      </w:r>
      <w:r w:rsidR="00EA69EC">
        <w:rPr>
          <w:rFonts w:eastAsiaTheme="minorEastAsia"/>
          <w:color w:val="000000" w:themeColor="text1"/>
          <w:sz w:val="22"/>
          <w:szCs w:val="22"/>
          <w:lang w:eastAsia="ko-KR"/>
        </w:rPr>
        <w:t xml:space="preserve">Potential </w:t>
      </w:r>
      <w:r w:rsidR="00D62BD6">
        <w:rPr>
          <w:rFonts w:eastAsiaTheme="minorEastAsia"/>
          <w:color w:val="000000" w:themeColor="text1"/>
          <w:sz w:val="22"/>
          <w:szCs w:val="22"/>
          <w:lang w:eastAsia="ko-KR"/>
        </w:rPr>
        <w:t xml:space="preserve">reduction of </w:t>
      </w:r>
      <w:r w:rsidR="00EA69EC">
        <w:rPr>
          <w:rFonts w:eastAsiaTheme="minorEastAsia"/>
          <w:color w:val="000000" w:themeColor="text1"/>
          <w:sz w:val="22"/>
          <w:szCs w:val="22"/>
          <w:lang w:eastAsia="ko-KR"/>
        </w:rPr>
        <w:t>number of scaling factor values may be further considered.</w:t>
      </w:r>
    </w:p>
    <w:p w14:paraId="7F64D33B" w14:textId="607134EA" w:rsidR="003A6F04" w:rsidRDefault="003A6F04" w:rsidP="00333AA1">
      <w:pPr>
        <w:pStyle w:val="BodyText"/>
        <w:spacing w:before="240"/>
        <w:jc w:val="left"/>
        <w:rPr>
          <w:rFonts w:eastAsiaTheme="minorEastAsia"/>
          <w:color w:val="000000" w:themeColor="text1"/>
          <w:sz w:val="22"/>
          <w:szCs w:val="22"/>
          <w:lang w:eastAsia="ko-KR"/>
        </w:rPr>
      </w:pPr>
      <w:r w:rsidRPr="003A6F04">
        <w:rPr>
          <w:rFonts w:eastAsiaTheme="minorEastAsia"/>
          <w:color w:val="000000" w:themeColor="text1"/>
          <w:sz w:val="22"/>
          <w:szCs w:val="22"/>
          <w:lang w:eastAsia="ko-KR"/>
        </w:rPr>
        <w:t xml:space="preserve">Furthermore, to provide appropriate scaling factor that can potentially stem from difference in RF </w:t>
      </w:r>
      <w:r>
        <w:rPr>
          <w:rFonts w:eastAsiaTheme="minorEastAsia"/>
          <w:color w:val="000000" w:themeColor="text1"/>
          <w:sz w:val="22"/>
          <w:szCs w:val="22"/>
          <w:lang w:eastAsia="ko-KR"/>
        </w:rPr>
        <w:t>and baseband capability, signal</w:t>
      </w:r>
      <w:r w:rsidRPr="003A6F04">
        <w:rPr>
          <w:rFonts w:eastAsiaTheme="minorEastAsia"/>
          <w:color w:val="000000" w:themeColor="text1"/>
          <w:sz w:val="22"/>
          <w:szCs w:val="22"/>
          <w:lang w:eastAsia="ko-KR"/>
        </w:rPr>
        <w:t>ing for per band and per band combination is recommended.</w:t>
      </w:r>
      <w:r w:rsidR="00D0569C">
        <w:rPr>
          <w:rFonts w:eastAsiaTheme="minorEastAsia"/>
          <w:color w:val="000000" w:themeColor="text1"/>
          <w:sz w:val="22"/>
          <w:szCs w:val="22"/>
          <w:lang w:eastAsia="ko-KR"/>
        </w:rPr>
        <w:t xml:space="preserve"> However, we understand that per band and per band combination signaling may cause signaling burden for upper layers. Therefore, could consider per CC and per baseband processing combination (BPC) as a </w:t>
      </w:r>
      <w:r w:rsidR="003C4B7F">
        <w:rPr>
          <w:rFonts w:eastAsiaTheme="minorEastAsia"/>
          <w:color w:val="000000" w:themeColor="text1"/>
          <w:sz w:val="22"/>
          <w:szCs w:val="22"/>
          <w:lang w:eastAsia="ko-KR"/>
        </w:rPr>
        <w:t>compromise</w:t>
      </w:r>
      <w:r w:rsidR="00D0569C">
        <w:rPr>
          <w:rFonts w:eastAsiaTheme="minorEastAsia"/>
          <w:color w:val="000000" w:themeColor="text1"/>
          <w:sz w:val="22"/>
          <w:szCs w:val="22"/>
          <w:lang w:eastAsia="ko-KR"/>
        </w:rPr>
        <w:t xml:space="preserve"> to provide flexibility and reduction of signaling overhead from indication of values per band combination.</w:t>
      </w:r>
      <w:r w:rsidR="002D7B36">
        <w:rPr>
          <w:rFonts w:eastAsiaTheme="minorEastAsia"/>
          <w:color w:val="000000" w:themeColor="text1"/>
          <w:sz w:val="22"/>
          <w:szCs w:val="22"/>
          <w:lang w:eastAsia="ko-KR"/>
        </w:rPr>
        <w:t xml:space="preserve"> This is with the assumption that most UEs will not indicate a unique BPC entry for each band combination, which should be true. The assumption was the whole reason BPC entries were created in RAN2.</w:t>
      </w:r>
    </w:p>
    <w:p w14:paraId="7262466C" w14:textId="2996C82D" w:rsidR="00333AA1" w:rsidRDefault="00333AA1" w:rsidP="00333AA1">
      <w:pPr>
        <w:pStyle w:val="BodyText"/>
        <w:spacing w:before="240"/>
        <w:jc w:val="left"/>
        <w:rPr>
          <w:rFonts w:eastAsiaTheme="minorEastAsia"/>
          <w:color w:val="000000" w:themeColor="text1"/>
          <w:sz w:val="22"/>
          <w:szCs w:val="22"/>
          <w:lang w:eastAsia="ko-KR"/>
        </w:rPr>
      </w:pPr>
      <w:r>
        <w:rPr>
          <w:rFonts w:eastAsiaTheme="minorEastAsia"/>
          <w:color w:val="000000" w:themeColor="text1"/>
          <w:sz w:val="22"/>
          <w:szCs w:val="22"/>
          <w:lang w:eastAsia="ko-KR"/>
        </w:rPr>
        <w:t>In summary, t</w:t>
      </w:r>
      <w:r w:rsidR="00BE0366">
        <w:rPr>
          <w:rFonts w:eastAsiaTheme="minorEastAsia"/>
          <w:color w:val="000000" w:themeColor="text1"/>
          <w:sz w:val="22"/>
          <w:szCs w:val="22"/>
          <w:lang w:eastAsia="ko-KR"/>
        </w:rPr>
        <w:t xml:space="preserve">he scaling factor is to compensate for the gap between supported RF and </w:t>
      </w:r>
      <w:r>
        <w:rPr>
          <w:rFonts w:eastAsiaTheme="minorEastAsia"/>
          <w:color w:val="000000" w:themeColor="text1"/>
          <w:sz w:val="22"/>
          <w:szCs w:val="22"/>
          <w:lang w:eastAsia="ko-KR"/>
        </w:rPr>
        <w:t xml:space="preserve">baseband </w:t>
      </w:r>
      <w:r w:rsidR="00BE0366">
        <w:rPr>
          <w:rFonts w:eastAsiaTheme="minorEastAsia"/>
          <w:color w:val="000000" w:themeColor="text1"/>
          <w:sz w:val="22"/>
          <w:szCs w:val="22"/>
          <w:lang w:eastAsia="ko-KR"/>
        </w:rPr>
        <w:t>capabilities</w:t>
      </w:r>
      <w:r>
        <w:rPr>
          <w:rFonts w:eastAsiaTheme="minorEastAsia"/>
          <w:color w:val="000000" w:themeColor="text1"/>
          <w:sz w:val="22"/>
          <w:szCs w:val="22"/>
          <w:lang w:eastAsia="ko-KR"/>
        </w:rPr>
        <w:t xml:space="preserve">, difference in processing capability in DL and UL, and most importantly hardware resource sharing between LTE-NR DC in EN-DC scenarios. Therefore, </w:t>
      </w:r>
      <w:r w:rsidR="00BE0366">
        <w:rPr>
          <w:rFonts w:eastAsiaTheme="minorEastAsia"/>
          <w:color w:val="000000" w:themeColor="text1"/>
          <w:sz w:val="22"/>
          <w:szCs w:val="22"/>
          <w:lang w:eastAsia="ko-KR"/>
        </w:rPr>
        <w:t xml:space="preserve">the scaling factor </w:t>
      </w:r>
      <w:r>
        <w:rPr>
          <w:rFonts w:eastAsiaTheme="minorEastAsia"/>
          <w:color w:val="000000" w:themeColor="text1"/>
          <w:sz w:val="22"/>
          <w:szCs w:val="22"/>
          <w:lang w:eastAsia="ko-KR"/>
        </w:rPr>
        <w:t xml:space="preserve">signaling mechanic should have enough flexibility such that UE inform the network the maximum data rate limitation for each band in each band combination. </w:t>
      </w:r>
      <w:r w:rsidR="00D6186F">
        <w:rPr>
          <w:rFonts w:eastAsiaTheme="minorEastAsia"/>
          <w:color w:val="000000" w:themeColor="text1"/>
          <w:sz w:val="22"/>
          <w:szCs w:val="22"/>
          <w:lang w:eastAsia="ko-KR"/>
        </w:rPr>
        <w:t xml:space="preserve">We think the support of scaling factor per </w:t>
      </w:r>
      <w:r w:rsidR="00D0569C">
        <w:rPr>
          <w:rFonts w:eastAsiaTheme="minorEastAsia"/>
          <w:color w:val="000000" w:themeColor="text1"/>
          <w:sz w:val="22"/>
          <w:szCs w:val="22"/>
          <w:lang w:eastAsia="ko-KR"/>
        </w:rPr>
        <w:t>CC</w:t>
      </w:r>
      <w:r w:rsidR="000535DD">
        <w:rPr>
          <w:rFonts w:eastAsiaTheme="minorEastAsia"/>
          <w:color w:val="000000" w:themeColor="text1"/>
          <w:sz w:val="22"/>
          <w:szCs w:val="22"/>
          <w:lang w:eastAsia="ko-KR"/>
        </w:rPr>
        <w:t xml:space="preserve"> per B</w:t>
      </w:r>
      <w:r w:rsidR="00D0569C">
        <w:rPr>
          <w:rFonts w:eastAsiaTheme="minorEastAsia"/>
          <w:color w:val="000000" w:themeColor="text1"/>
          <w:sz w:val="22"/>
          <w:szCs w:val="22"/>
          <w:lang w:eastAsia="ko-KR"/>
        </w:rPr>
        <w:t>P</w:t>
      </w:r>
      <w:r w:rsidR="000535DD">
        <w:rPr>
          <w:rFonts w:eastAsiaTheme="minorEastAsia"/>
          <w:color w:val="000000" w:themeColor="text1"/>
          <w:sz w:val="22"/>
          <w:szCs w:val="22"/>
          <w:lang w:eastAsia="ko-KR"/>
        </w:rPr>
        <w:t>C</w:t>
      </w:r>
      <w:r w:rsidR="00D6186F">
        <w:rPr>
          <w:rFonts w:eastAsiaTheme="minorEastAsia"/>
          <w:color w:val="000000" w:themeColor="text1"/>
          <w:sz w:val="22"/>
          <w:szCs w:val="22"/>
          <w:lang w:eastAsia="ko-KR"/>
        </w:rPr>
        <w:t xml:space="preserve"> can offer </w:t>
      </w:r>
      <w:r w:rsidR="008D5086">
        <w:rPr>
          <w:rFonts w:eastAsiaTheme="minorEastAsia"/>
          <w:color w:val="000000" w:themeColor="text1"/>
          <w:sz w:val="22"/>
          <w:szCs w:val="22"/>
          <w:lang w:eastAsia="ko-KR"/>
        </w:rPr>
        <w:t>a</w:t>
      </w:r>
      <w:r w:rsidR="00D0569C">
        <w:rPr>
          <w:rFonts w:eastAsiaTheme="minorEastAsia"/>
          <w:color w:val="000000" w:themeColor="text1"/>
          <w:sz w:val="22"/>
          <w:szCs w:val="22"/>
          <w:lang w:eastAsia="ko-KR"/>
        </w:rPr>
        <w:t xml:space="preserve"> good </w:t>
      </w:r>
      <w:r w:rsidR="006F1210">
        <w:rPr>
          <w:rFonts w:eastAsiaTheme="minorEastAsia"/>
          <w:color w:val="000000" w:themeColor="text1"/>
          <w:sz w:val="22"/>
          <w:szCs w:val="22"/>
          <w:lang w:eastAsia="ko-KR"/>
        </w:rPr>
        <w:t xml:space="preserve">compromise </w:t>
      </w:r>
      <w:r w:rsidR="00D0569C">
        <w:rPr>
          <w:rFonts w:eastAsiaTheme="minorEastAsia"/>
          <w:color w:val="000000" w:themeColor="text1"/>
          <w:sz w:val="22"/>
          <w:szCs w:val="22"/>
          <w:lang w:eastAsia="ko-KR"/>
        </w:rPr>
        <w:t>in terms of signaling overhead and flexibility</w:t>
      </w:r>
      <w:r w:rsidR="00D6186F">
        <w:rPr>
          <w:rFonts w:eastAsiaTheme="minorEastAsia"/>
          <w:color w:val="000000" w:themeColor="text1"/>
          <w:sz w:val="22"/>
          <w:szCs w:val="22"/>
          <w:lang w:eastAsia="ko-KR"/>
        </w:rPr>
        <w:t>.</w:t>
      </w:r>
    </w:p>
    <w:p w14:paraId="370D7DD1" w14:textId="77777777" w:rsidR="00151926" w:rsidRDefault="00151926" w:rsidP="00E63EB6">
      <w:pPr>
        <w:rPr>
          <w:rFonts w:eastAsiaTheme="minorEastAsia"/>
          <w:color w:val="000000" w:themeColor="text1"/>
          <w:sz w:val="22"/>
          <w:szCs w:val="22"/>
          <w:lang w:eastAsia="ko-KR"/>
        </w:rPr>
      </w:pPr>
    </w:p>
    <w:p w14:paraId="497E95A9" w14:textId="2F9DE29F" w:rsidR="00A35316" w:rsidRPr="00B33183" w:rsidRDefault="00A35316" w:rsidP="00A35316">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sidR="00AD1E60">
        <w:rPr>
          <w:rFonts w:eastAsiaTheme="minorEastAsia"/>
          <w:b/>
          <w:color w:val="000000" w:themeColor="text1"/>
          <w:sz w:val="22"/>
          <w:szCs w:val="22"/>
          <w:lang w:eastAsia="ko-KR"/>
        </w:rPr>
        <w:t>1</w:t>
      </w:r>
      <w:r w:rsidRPr="00B33183">
        <w:rPr>
          <w:rFonts w:eastAsiaTheme="minorEastAsia"/>
          <w:b/>
          <w:color w:val="000000" w:themeColor="text1"/>
          <w:sz w:val="22"/>
          <w:szCs w:val="22"/>
          <w:lang w:eastAsia="ko-KR"/>
        </w:rPr>
        <w:t>:</w:t>
      </w:r>
    </w:p>
    <w:p w14:paraId="4A1C465C" w14:textId="13FDBF81" w:rsidR="00AD1E60" w:rsidRDefault="00722EA5" w:rsidP="001D3960">
      <w:pPr>
        <w:pStyle w:val="ListParagraph"/>
        <w:numPr>
          <w:ilvl w:val="0"/>
          <w:numId w:val="39"/>
        </w:numPr>
        <w:rPr>
          <w:rFonts w:ascii="Times New Roman" w:hAnsi="Times New Roman"/>
          <w:i/>
        </w:rPr>
      </w:pPr>
      <w:r>
        <w:rPr>
          <w:rFonts w:ascii="Times New Roman" w:hAnsi="Times New Roman"/>
          <w:i/>
        </w:rPr>
        <w:t>S</w:t>
      </w:r>
      <w:r w:rsidRPr="00722EA5">
        <w:rPr>
          <w:rFonts w:ascii="Times New Roman" w:hAnsi="Times New Roman"/>
          <w:i/>
        </w:rPr>
        <w:t xml:space="preserve">upport the down scaling </w:t>
      </w:r>
      <w:r w:rsidRPr="002D7433">
        <w:rPr>
          <w:rFonts w:ascii="Times New Roman" w:hAnsi="Times New Roman"/>
          <w:i/>
        </w:rPr>
        <w:t xml:space="preserve">factor </w:t>
      </w:r>
      <w:r w:rsidR="001D3960" w:rsidRPr="001D3960">
        <w:rPr>
          <w:rFonts w:ascii="Times New Roman" w:hAnsi="Times New Roman"/>
          <w:i/>
        </w:rPr>
        <w:t xml:space="preserve">{1, </w:t>
      </w:r>
      <w:r w:rsidR="001D3960">
        <w:rPr>
          <w:rFonts w:ascii="Times New Roman" w:hAnsi="Times New Roman"/>
          <w:i/>
        </w:rPr>
        <w:t>0.8, 0.75, 0.67, 0.6, 0.5, 0.4}</w:t>
      </w:r>
      <w:r w:rsidR="001D3960" w:rsidRPr="001D3960">
        <w:rPr>
          <w:rFonts w:ascii="Times New Roman" w:hAnsi="Times New Roman"/>
          <w:i/>
        </w:rPr>
        <w:t xml:space="preserve"> </w:t>
      </w:r>
      <w:r w:rsidRPr="002D7433">
        <w:rPr>
          <w:rFonts w:ascii="Times New Roman" w:hAnsi="Times New Roman"/>
          <w:i/>
        </w:rPr>
        <w:t>for</w:t>
      </w:r>
      <w:r w:rsidRPr="002D7433">
        <w:rPr>
          <w:rFonts w:ascii="Times New Roman" w:hAnsi="Times New Roman"/>
        </w:rPr>
        <w:t xml:space="preserve"> </w:t>
      </w:r>
      <w:r w:rsidRPr="00D62BD6">
        <w:rPr>
          <w:rFonts w:ascii="Times New Roman" w:hAnsi="Times New Roman"/>
          <w:i/>
        </w:rPr>
        <w:t>DL</w:t>
      </w:r>
      <w:r w:rsidRPr="00722EA5">
        <w:rPr>
          <w:rFonts w:ascii="Times New Roman" w:hAnsi="Times New Roman"/>
          <w:i/>
        </w:rPr>
        <w:t xml:space="preserve"> and UL</w:t>
      </w:r>
      <w:r w:rsidR="00AD1E60" w:rsidRPr="00654616">
        <w:rPr>
          <w:rFonts w:ascii="Times New Roman" w:hAnsi="Times New Roman"/>
          <w:i/>
        </w:rPr>
        <w:t>.</w:t>
      </w:r>
    </w:p>
    <w:p w14:paraId="281271E6" w14:textId="0D381B9A" w:rsidR="00D62BD6" w:rsidRDefault="00D62BD6" w:rsidP="00D62BD6">
      <w:pPr>
        <w:pStyle w:val="ListParagraph"/>
        <w:numPr>
          <w:ilvl w:val="1"/>
          <w:numId w:val="39"/>
        </w:numPr>
        <w:rPr>
          <w:rFonts w:ascii="Times New Roman" w:hAnsi="Times New Roman"/>
          <w:i/>
        </w:rPr>
      </w:pPr>
      <w:r>
        <w:rPr>
          <w:rFonts w:ascii="Times New Roman" w:hAnsi="Times New Roman"/>
          <w:i/>
        </w:rPr>
        <w:t xml:space="preserve">FFS on potential reduction of number of scaling factor values for DL and </w:t>
      </w:r>
      <w:r w:rsidR="00EA69EC">
        <w:rPr>
          <w:rFonts w:ascii="Times New Roman" w:hAnsi="Times New Roman"/>
          <w:i/>
        </w:rPr>
        <w:t>U</w:t>
      </w:r>
      <w:r>
        <w:rPr>
          <w:rFonts w:ascii="Times New Roman" w:hAnsi="Times New Roman"/>
          <w:i/>
        </w:rPr>
        <w:t>L.</w:t>
      </w:r>
    </w:p>
    <w:p w14:paraId="52EC7A85" w14:textId="5F307FA0" w:rsidR="00722EA5" w:rsidRDefault="00722EA5" w:rsidP="00722EA5">
      <w:pPr>
        <w:pStyle w:val="ListParagraph"/>
        <w:numPr>
          <w:ilvl w:val="0"/>
          <w:numId w:val="39"/>
        </w:numPr>
        <w:rPr>
          <w:rFonts w:ascii="Times New Roman" w:hAnsi="Times New Roman"/>
          <w:i/>
        </w:rPr>
      </w:pPr>
      <w:r>
        <w:rPr>
          <w:rFonts w:ascii="Times New Roman" w:hAnsi="Times New Roman"/>
          <w:i/>
        </w:rPr>
        <w:t>Support separate down scaling factor for DL and UL.</w:t>
      </w:r>
    </w:p>
    <w:p w14:paraId="52DE57F5" w14:textId="6C542438" w:rsidR="00333AA1" w:rsidRDefault="00333AA1" w:rsidP="00722EA5">
      <w:pPr>
        <w:pStyle w:val="ListParagraph"/>
        <w:numPr>
          <w:ilvl w:val="0"/>
          <w:numId w:val="39"/>
        </w:numPr>
        <w:rPr>
          <w:rFonts w:ascii="Times New Roman" w:hAnsi="Times New Roman"/>
          <w:i/>
        </w:rPr>
      </w:pPr>
      <w:r>
        <w:rPr>
          <w:rFonts w:ascii="Times New Roman" w:hAnsi="Times New Roman"/>
          <w:i/>
        </w:rPr>
        <w:t xml:space="preserve">Scaling factor signaling should be per </w:t>
      </w:r>
      <w:r w:rsidR="006D4790">
        <w:rPr>
          <w:rFonts w:ascii="Times New Roman" w:hAnsi="Times New Roman"/>
          <w:i/>
        </w:rPr>
        <w:t>CC</w:t>
      </w:r>
      <w:r>
        <w:rPr>
          <w:rFonts w:ascii="Times New Roman" w:hAnsi="Times New Roman"/>
          <w:i/>
        </w:rPr>
        <w:t xml:space="preserve"> and per </w:t>
      </w:r>
      <w:r w:rsidR="006D4790">
        <w:rPr>
          <w:rFonts w:ascii="Times New Roman" w:hAnsi="Times New Roman"/>
          <w:i/>
        </w:rPr>
        <w:t>BPC</w:t>
      </w:r>
      <w:r>
        <w:rPr>
          <w:rFonts w:ascii="Times New Roman" w:hAnsi="Times New Roman"/>
          <w:i/>
        </w:rPr>
        <w:t>.</w:t>
      </w:r>
    </w:p>
    <w:p w14:paraId="5D4E14EC" w14:textId="77777777" w:rsidR="00AF3AC2" w:rsidRDefault="00AF3AC2" w:rsidP="00E63EB6">
      <w:pPr>
        <w:rPr>
          <w:rFonts w:eastAsiaTheme="minorEastAsia"/>
          <w:b/>
          <w:color w:val="000000" w:themeColor="text1"/>
          <w:sz w:val="22"/>
          <w:szCs w:val="22"/>
          <w:highlight w:val="yellow"/>
          <w:lang w:eastAsia="ko-KR"/>
        </w:rPr>
      </w:pPr>
    </w:p>
    <w:p w14:paraId="5C5E393F" w14:textId="77777777" w:rsidR="00B96606" w:rsidRPr="00B96606" w:rsidRDefault="00B96606" w:rsidP="00E63EB6">
      <w:pPr>
        <w:rPr>
          <w:rFonts w:eastAsiaTheme="minorEastAsia"/>
          <w:color w:val="000000" w:themeColor="text1"/>
          <w:sz w:val="22"/>
          <w:szCs w:val="22"/>
          <w:highlight w:val="yellow"/>
          <w:lang w:eastAsia="ko-KR"/>
        </w:rPr>
      </w:pPr>
    </w:p>
    <w:p w14:paraId="123AA60A" w14:textId="77777777" w:rsidR="007C45D9" w:rsidRPr="00766A35" w:rsidRDefault="007C45D9" w:rsidP="00B33B14">
      <w:pPr>
        <w:pStyle w:val="Heading1"/>
        <w:numPr>
          <w:ilvl w:val="0"/>
          <w:numId w:val="2"/>
        </w:numPr>
        <w:ind w:left="360"/>
        <w:rPr>
          <w:rFonts w:cs="Arial"/>
          <w:sz w:val="32"/>
          <w:szCs w:val="32"/>
          <w:lang w:val="en-US"/>
        </w:rPr>
      </w:pPr>
      <w:r w:rsidRPr="00766A35">
        <w:rPr>
          <w:rFonts w:cs="Arial"/>
          <w:sz w:val="32"/>
          <w:szCs w:val="32"/>
          <w:lang w:val="en-US"/>
        </w:rPr>
        <w:t>Conclusions</w:t>
      </w:r>
    </w:p>
    <w:p w14:paraId="6F00829B" w14:textId="79793DE1" w:rsidR="007C45D9" w:rsidRPr="000239D0" w:rsidRDefault="009945CF" w:rsidP="009945CF">
      <w:pPr>
        <w:rPr>
          <w:sz w:val="22"/>
          <w:szCs w:val="22"/>
          <w:lang w:eastAsia="zh-CN"/>
        </w:rPr>
      </w:pPr>
      <w:r w:rsidRPr="000239D0">
        <w:rPr>
          <w:sz w:val="22"/>
          <w:szCs w:val="22"/>
          <w:lang w:eastAsia="zh-CN"/>
        </w:rPr>
        <w:tab/>
      </w:r>
      <w:r w:rsidR="007C45D9" w:rsidRPr="000239D0">
        <w:rPr>
          <w:sz w:val="22"/>
          <w:szCs w:val="22"/>
          <w:lang w:eastAsia="zh-CN"/>
        </w:rPr>
        <w:t>In this contribution, we discussed</w:t>
      </w:r>
      <w:r w:rsidR="00232604" w:rsidRPr="000239D0">
        <w:rPr>
          <w:sz w:val="22"/>
          <w:szCs w:val="22"/>
          <w:lang w:eastAsia="zh-CN"/>
        </w:rPr>
        <w:t xml:space="preserve"> </w:t>
      </w:r>
      <w:r w:rsidR="00D86746">
        <w:rPr>
          <w:sz w:val="22"/>
          <w:szCs w:val="22"/>
          <w:lang w:eastAsia="zh-CN"/>
        </w:rPr>
        <w:t>UE peak data rate related issues</w:t>
      </w:r>
      <w:r w:rsidR="007C45D9" w:rsidRPr="000239D0">
        <w:rPr>
          <w:sz w:val="22"/>
          <w:szCs w:val="22"/>
          <w:lang w:eastAsia="zh-CN"/>
        </w:rPr>
        <w:t>.</w:t>
      </w:r>
      <w:r w:rsidR="00232604" w:rsidRPr="000239D0">
        <w:rPr>
          <w:sz w:val="22"/>
          <w:szCs w:val="22"/>
          <w:lang w:eastAsia="zh-CN"/>
        </w:rPr>
        <w:t xml:space="preserve"> </w:t>
      </w:r>
      <w:r w:rsidR="007C45D9" w:rsidRPr="000239D0">
        <w:rPr>
          <w:sz w:val="22"/>
          <w:szCs w:val="22"/>
          <w:lang w:eastAsia="zh-CN"/>
        </w:rPr>
        <w:t>Our proposals are summarized as below:</w:t>
      </w:r>
    </w:p>
    <w:p w14:paraId="7282D9AD" w14:textId="77777777" w:rsidR="00333AA1" w:rsidRDefault="00333AA1" w:rsidP="00333AA1">
      <w:pPr>
        <w:rPr>
          <w:rFonts w:eastAsiaTheme="minorEastAsia"/>
          <w:color w:val="000000" w:themeColor="text1"/>
          <w:sz w:val="22"/>
          <w:szCs w:val="22"/>
          <w:lang w:eastAsia="ko-KR"/>
        </w:rPr>
      </w:pPr>
    </w:p>
    <w:p w14:paraId="53A41F38" w14:textId="77777777" w:rsidR="003A0CC8" w:rsidRPr="00B33183" w:rsidRDefault="003A0CC8" w:rsidP="003A0CC8">
      <w:pPr>
        <w:rPr>
          <w:rFonts w:eastAsiaTheme="minorEastAsia"/>
          <w:b/>
          <w:color w:val="000000" w:themeColor="text1"/>
          <w:sz w:val="22"/>
          <w:szCs w:val="22"/>
          <w:lang w:eastAsia="ko-KR"/>
        </w:rPr>
      </w:pPr>
      <w:r w:rsidRPr="00B33183">
        <w:rPr>
          <w:rFonts w:eastAsiaTheme="minorEastAsia"/>
          <w:b/>
          <w:color w:val="000000" w:themeColor="text1"/>
          <w:sz w:val="22"/>
          <w:szCs w:val="22"/>
          <w:lang w:eastAsia="ko-KR"/>
        </w:rPr>
        <w:t xml:space="preserve">Proposal </w:t>
      </w:r>
      <w:r>
        <w:rPr>
          <w:rFonts w:eastAsiaTheme="minorEastAsia"/>
          <w:b/>
          <w:color w:val="000000" w:themeColor="text1"/>
          <w:sz w:val="22"/>
          <w:szCs w:val="22"/>
          <w:lang w:eastAsia="ko-KR"/>
        </w:rPr>
        <w:t>1</w:t>
      </w:r>
      <w:r w:rsidRPr="00B33183">
        <w:rPr>
          <w:rFonts w:eastAsiaTheme="minorEastAsia"/>
          <w:b/>
          <w:color w:val="000000" w:themeColor="text1"/>
          <w:sz w:val="22"/>
          <w:szCs w:val="22"/>
          <w:lang w:eastAsia="ko-KR"/>
        </w:rPr>
        <w:t>:</w:t>
      </w:r>
    </w:p>
    <w:p w14:paraId="44E4160D" w14:textId="77777777" w:rsidR="00D62BD6" w:rsidRDefault="00D62BD6" w:rsidP="00D62BD6">
      <w:pPr>
        <w:pStyle w:val="ListParagraph"/>
        <w:numPr>
          <w:ilvl w:val="0"/>
          <w:numId w:val="39"/>
        </w:numPr>
        <w:rPr>
          <w:rFonts w:ascii="Times New Roman" w:hAnsi="Times New Roman"/>
          <w:i/>
        </w:rPr>
      </w:pPr>
      <w:r>
        <w:rPr>
          <w:rFonts w:ascii="Times New Roman" w:hAnsi="Times New Roman"/>
          <w:i/>
        </w:rPr>
        <w:t>S</w:t>
      </w:r>
      <w:r w:rsidRPr="00722EA5">
        <w:rPr>
          <w:rFonts w:ascii="Times New Roman" w:hAnsi="Times New Roman"/>
          <w:i/>
        </w:rPr>
        <w:t xml:space="preserve">upport the down scaling </w:t>
      </w:r>
      <w:r w:rsidRPr="002D7433">
        <w:rPr>
          <w:rFonts w:ascii="Times New Roman" w:hAnsi="Times New Roman"/>
          <w:i/>
        </w:rPr>
        <w:t xml:space="preserve">factor </w:t>
      </w:r>
      <w:r w:rsidRPr="001D3960">
        <w:rPr>
          <w:rFonts w:ascii="Times New Roman" w:hAnsi="Times New Roman"/>
          <w:i/>
        </w:rPr>
        <w:t xml:space="preserve">{1, </w:t>
      </w:r>
      <w:r>
        <w:rPr>
          <w:rFonts w:ascii="Times New Roman" w:hAnsi="Times New Roman"/>
          <w:i/>
        </w:rPr>
        <w:t>0.8, 0.75, 0.67, 0.6, 0.5, 0.4}</w:t>
      </w:r>
      <w:r w:rsidRPr="001D3960">
        <w:rPr>
          <w:rFonts w:ascii="Times New Roman" w:hAnsi="Times New Roman"/>
          <w:i/>
        </w:rPr>
        <w:t xml:space="preserve"> </w:t>
      </w:r>
      <w:r w:rsidRPr="002D7433">
        <w:rPr>
          <w:rFonts w:ascii="Times New Roman" w:hAnsi="Times New Roman"/>
          <w:i/>
        </w:rPr>
        <w:t>for</w:t>
      </w:r>
      <w:r w:rsidRPr="002D7433">
        <w:rPr>
          <w:rFonts w:ascii="Times New Roman" w:hAnsi="Times New Roman"/>
        </w:rPr>
        <w:t xml:space="preserve"> </w:t>
      </w:r>
      <w:r w:rsidRPr="00D62BD6">
        <w:rPr>
          <w:rFonts w:ascii="Times New Roman" w:hAnsi="Times New Roman"/>
          <w:i/>
        </w:rPr>
        <w:t>DL</w:t>
      </w:r>
      <w:r w:rsidRPr="00722EA5">
        <w:rPr>
          <w:rFonts w:ascii="Times New Roman" w:hAnsi="Times New Roman"/>
          <w:i/>
        </w:rPr>
        <w:t xml:space="preserve"> and UL</w:t>
      </w:r>
      <w:r w:rsidRPr="00654616">
        <w:rPr>
          <w:rFonts w:ascii="Times New Roman" w:hAnsi="Times New Roman"/>
          <w:i/>
        </w:rPr>
        <w:t>.</w:t>
      </w:r>
    </w:p>
    <w:p w14:paraId="7D2EC9A9" w14:textId="205BEC15" w:rsidR="00D62BD6" w:rsidRDefault="00D62BD6" w:rsidP="00D62BD6">
      <w:pPr>
        <w:pStyle w:val="ListParagraph"/>
        <w:numPr>
          <w:ilvl w:val="1"/>
          <w:numId w:val="39"/>
        </w:numPr>
        <w:rPr>
          <w:rFonts w:ascii="Times New Roman" w:hAnsi="Times New Roman"/>
          <w:i/>
        </w:rPr>
      </w:pPr>
      <w:r>
        <w:rPr>
          <w:rFonts w:ascii="Times New Roman" w:hAnsi="Times New Roman"/>
          <w:i/>
        </w:rPr>
        <w:t>FFS on potential reduction of number of sc</w:t>
      </w:r>
      <w:r w:rsidR="00364386">
        <w:rPr>
          <w:rFonts w:ascii="Times New Roman" w:hAnsi="Times New Roman"/>
          <w:i/>
        </w:rPr>
        <w:t>aling factor values for DL and U</w:t>
      </w:r>
      <w:bookmarkStart w:id="1" w:name="_GoBack"/>
      <w:bookmarkEnd w:id="1"/>
      <w:r>
        <w:rPr>
          <w:rFonts w:ascii="Times New Roman" w:hAnsi="Times New Roman"/>
          <w:i/>
        </w:rPr>
        <w:t>L.</w:t>
      </w:r>
    </w:p>
    <w:p w14:paraId="1328BDF2" w14:textId="77777777" w:rsidR="003A0CC8" w:rsidRDefault="003A0CC8" w:rsidP="003A0CC8">
      <w:pPr>
        <w:pStyle w:val="ListParagraph"/>
        <w:numPr>
          <w:ilvl w:val="0"/>
          <w:numId w:val="39"/>
        </w:numPr>
        <w:rPr>
          <w:rFonts w:ascii="Times New Roman" w:hAnsi="Times New Roman"/>
          <w:i/>
        </w:rPr>
      </w:pPr>
      <w:r>
        <w:rPr>
          <w:rFonts w:ascii="Times New Roman" w:hAnsi="Times New Roman"/>
          <w:i/>
        </w:rPr>
        <w:t>Support separate down scaling factor for DL and UL.</w:t>
      </w:r>
    </w:p>
    <w:p w14:paraId="1D0B9C45" w14:textId="77777777" w:rsidR="003A0CC8" w:rsidRDefault="003A0CC8" w:rsidP="003A0CC8">
      <w:pPr>
        <w:pStyle w:val="ListParagraph"/>
        <w:numPr>
          <w:ilvl w:val="0"/>
          <w:numId w:val="39"/>
        </w:numPr>
        <w:rPr>
          <w:rFonts w:ascii="Times New Roman" w:hAnsi="Times New Roman"/>
          <w:i/>
        </w:rPr>
      </w:pPr>
      <w:r>
        <w:rPr>
          <w:rFonts w:ascii="Times New Roman" w:hAnsi="Times New Roman"/>
          <w:i/>
        </w:rPr>
        <w:lastRenderedPageBreak/>
        <w:t>Scaling factor signaling should be per CC and per BPC.</w:t>
      </w:r>
    </w:p>
    <w:p w14:paraId="7FDE1B96" w14:textId="77777777" w:rsidR="002C5EC5" w:rsidRDefault="002C5EC5" w:rsidP="003B467D">
      <w:pPr>
        <w:rPr>
          <w:rFonts w:eastAsiaTheme="minorEastAsia"/>
          <w:b/>
          <w:color w:val="000000" w:themeColor="text1"/>
          <w:sz w:val="22"/>
          <w:szCs w:val="22"/>
          <w:lang w:eastAsia="ko-KR"/>
        </w:rPr>
      </w:pPr>
    </w:p>
    <w:p w14:paraId="417E6C22" w14:textId="419F8063" w:rsidR="002C5EC5" w:rsidRPr="00766A35" w:rsidRDefault="002C5EC5" w:rsidP="002C5EC5">
      <w:pPr>
        <w:pStyle w:val="Heading1"/>
        <w:rPr>
          <w:rFonts w:cs="Arial"/>
          <w:sz w:val="32"/>
          <w:szCs w:val="32"/>
          <w:lang w:val="en-US"/>
        </w:rPr>
      </w:pPr>
      <w:r>
        <w:rPr>
          <w:rFonts w:cs="Arial"/>
          <w:sz w:val="32"/>
          <w:szCs w:val="32"/>
          <w:lang w:val="en-US"/>
        </w:rPr>
        <w:t>Reference</w:t>
      </w:r>
    </w:p>
    <w:p w14:paraId="06D5572F" w14:textId="03C291F7" w:rsidR="002C5EC5" w:rsidRDefault="002C5EC5" w:rsidP="002C5EC5">
      <w:pPr>
        <w:pStyle w:val="ListParagraph"/>
        <w:numPr>
          <w:ilvl w:val="0"/>
          <w:numId w:val="41"/>
        </w:numPr>
        <w:ind w:left="360"/>
        <w:rPr>
          <w:rFonts w:ascii="Times New Roman" w:eastAsiaTheme="minorEastAsia" w:hAnsi="Times New Roman"/>
          <w:color w:val="000000" w:themeColor="text1"/>
          <w:lang w:eastAsia="ko-KR"/>
        </w:rPr>
      </w:pPr>
      <w:bookmarkStart w:id="2" w:name="_Ref506488144"/>
      <w:r>
        <w:rPr>
          <w:rFonts w:ascii="Times New Roman" w:eastAsiaTheme="minorEastAsia" w:hAnsi="Times New Roman"/>
          <w:color w:val="000000" w:themeColor="text1"/>
          <w:lang w:eastAsia="ko-KR"/>
        </w:rPr>
        <w:t>R1-1721733, “</w:t>
      </w:r>
      <w:r w:rsidRPr="002C5EC5">
        <w:rPr>
          <w:rFonts w:ascii="Times New Roman" w:eastAsiaTheme="minorEastAsia" w:hAnsi="Times New Roman"/>
          <w:color w:val="000000" w:themeColor="text1"/>
          <w:lang w:eastAsia="ko-KR"/>
        </w:rPr>
        <w:t>LS reply on formula or table for L1 data rate</w:t>
      </w:r>
      <w:r>
        <w:rPr>
          <w:rFonts w:ascii="Times New Roman" w:eastAsiaTheme="minorEastAsia" w:hAnsi="Times New Roman"/>
          <w:color w:val="000000" w:themeColor="text1"/>
          <w:lang w:eastAsia="ko-KR"/>
        </w:rPr>
        <w:t xml:space="preserve">,” </w:t>
      </w:r>
      <w:r w:rsidR="009C3809">
        <w:rPr>
          <w:rFonts w:ascii="Times New Roman" w:eastAsiaTheme="minorEastAsia" w:hAnsi="Times New Roman"/>
          <w:color w:val="000000" w:themeColor="text1"/>
          <w:lang w:eastAsia="ko-KR"/>
        </w:rPr>
        <w:t xml:space="preserve">3GPP TSG RAN WG1 #91, </w:t>
      </w:r>
      <w:r>
        <w:rPr>
          <w:rFonts w:ascii="Times New Roman" w:eastAsiaTheme="minorEastAsia" w:hAnsi="Times New Roman"/>
          <w:color w:val="000000" w:themeColor="text1"/>
          <w:lang w:eastAsia="ko-KR"/>
        </w:rPr>
        <w:t>RAN WG1</w:t>
      </w:r>
      <w:bookmarkEnd w:id="2"/>
    </w:p>
    <w:p w14:paraId="248BB333" w14:textId="2A567C06" w:rsidR="009C3809" w:rsidRDefault="009C3809" w:rsidP="009C3809">
      <w:pPr>
        <w:pStyle w:val="ListParagraph"/>
        <w:numPr>
          <w:ilvl w:val="0"/>
          <w:numId w:val="41"/>
        </w:numPr>
        <w:ind w:left="360"/>
        <w:rPr>
          <w:rFonts w:ascii="Times New Roman" w:eastAsiaTheme="minorEastAsia" w:hAnsi="Times New Roman"/>
          <w:color w:val="000000" w:themeColor="text1"/>
          <w:lang w:eastAsia="ko-KR"/>
        </w:rPr>
      </w:pPr>
      <w:bookmarkStart w:id="3" w:name="_Ref506500811"/>
      <w:r>
        <w:rPr>
          <w:rFonts w:ascii="Times New Roman" w:eastAsiaTheme="minorEastAsia" w:hAnsi="Times New Roman"/>
          <w:color w:val="000000" w:themeColor="text1"/>
          <w:lang w:eastAsia="ko-KR"/>
        </w:rPr>
        <w:t>R1-1801324, “</w:t>
      </w:r>
      <w:r w:rsidRPr="009C3809">
        <w:rPr>
          <w:rFonts w:ascii="Times New Roman" w:eastAsiaTheme="minorEastAsia" w:hAnsi="Times New Roman"/>
          <w:color w:val="000000" w:themeColor="text1"/>
          <w:lang w:eastAsia="ko-KR"/>
        </w:rPr>
        <w:t>Reply LS on formula or table for L1 data rate</w:t>
      </w:r>
      <w:r>
        <w:rPr>
          <w:rFonts w:ascii="Times New Roman" w:eastAsiaTheme="minorEastAsia" w:hAnsi="Times New Roman"/>
          <w:color w:val="000000" w:themeColor="text1"/>
          <w:lang w:eastAsia="ko-KR"/>
        </w:rPr>
        <w:t>.” 3GPP TSG RAN WG1 #92, RAN WG2</w:t>
      </w:r>
      <w:bookmarkEnd w:id="3"/>
    </w:p>
    <w:p w14:paraId="44CFB94B" w14:textId="77777777" w:rsidR="007A756E" w:rsidRDefault="007A756E" w:rsidP="0085189D">
      <w:pPr>
        <w:rPr>
          <w:rFonts w:eastAsiaTheme="minorEastAsia"/>
          <w:color w:val="000000" w:themeColor="text1"/>
          <w:lang w:eastAsia="ko-KR"/>
        </w:rPr>
      </w:pPr>
    </w:p>
    <w:p w14:paraId="52E0BCF5" w14:textId="77777777" w:rsidR="009C3809" w:rsidRDefault="009C3809" w:rsidP="0085189D">
      <w:pPr>
        <w:rPr>
          <w:rFonts w:eastAsiaTheme="minorEastAsia"/>
          <w:color w:val="000000" w:themeColor="text1"/>
          <w:lang w:eastAsia="ko-KR"/>
        </w:rPr>
      </w:pPr>
    </w:p>
    <w:p w14:paraId="47930C7C" w14:textId="77777777" w:rsidR="003E54E9" w:rsidRPr="0085189D" w:rsidRDefault="003E54E9" w:rsidP="0085189D">
      <w:pPr>
        <w:rPr>
          <w:rFonts w:eastAsiaTheme="minorEastAsia"/>
          <w:color w:val="000000" w:themeColor="text1"/>
          <w:lang w:eastAsia="ko-KR"/>
        </w:rPr>
      </w:pPr>
    </w:p>
    <w:sectPr w:rsidR="003E54E9" w:rsidRPr="0085189D" w:rsidSect="00D86B37">
      <w:headerReference w:type="even" r:id="rId38"/>
      <w:footerReference w:type="even" r:id="rId39"/>
      <w:footerReference w:type="default" r:id="rId4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06814" w14:textId="77777777" w:rsidR="00EA70EA" w:rsidRDefault="00EA70EA">
      <w:r>
        <w:separator/>
      </w:r>
    </w:p>
  </w:endnote>
  <w:endnote w:type="continuationSeparator" w:id="0">
    <w:p w14:paraId="64CA0BBC" w14:textId="77777777" w:rsidR="00EA70EA" w:rsidRDefault="00EA7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0C687A" w:rsidRDefault="000C687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0C687A" w:rsidRDefault="000C687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0C687A" w:rsidRDefault="000C687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6438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4386">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92FC7C" w14:textId="77777777" w:rsidR="00EA70EA" w:rsidRDefault="00EA70EA">
      <w:r>
        <w:separator/>
      </w:r>
    </w:p>
  </w:footnote>
  <w:footnote w:type="continuationSeparator" w:id="0">
    <w:p w14:paraId="131230D2" w14:textId="77777777" w:rsidR="00EA70EA" w:rsidRDefault="00EA70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0C687A" w:rsidRDefault="000C687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46AAF"/>
    <w:multiLevelType w:val="hybridMultilevel"/>
    <w:tmpl w:val="037AA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AE6B11"/>
    <w:multiLevelType w:val="hybridMultilevel"/>
    <w:tmpl w:val="7D709C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FC0BE2"/>
    <w:multiLevelType w:val="hybridMultilevel"/>
    <w:tmpl w:val="68480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9F37840"/>
    <w:multiLevelType w:val="hybridMultilevel"/>
    <w:tmpl w:val="E18E825E"/>
    <w:lvl w:ilvl="0" w:tplc="D87CC9DE">
      <w:start w:val="1"/>
      <w:numFmt w:val="bullet"/>
      <w:lvlText w:val="•"/>
      <w:lvlJc w:val="left"/>
      <w:pPr>
        <w:tabs>
          <w:tab w:val="num" w:pos="720"/>
        </w:tabs>
        <w:ind w:left="720" w:hanging="360"/>
      </w:pPr>
      <w:rPr>
        <w:rFonts w:ascii="Arial" w:hAnsi="Arial" w:hint="default"/>
      </w:rPr>
    </w:lvl>
    <w:lvl w:ilvl="1" w:tplc="E0106FA4">
      <w:numFmt w:val="bullet"/>
      <w:lvlText w:val="–"/>
      <w:lvlJc w:val="left"/>
      <w:pPr>
        <w:tabs>
          <w:tab w:val="num" w:pos="1440"/>
        </w:tabs>
        <w:ind w:left="1440" w:hanging="360"/>
      </w:pPr>
      <w:rPr>
        <w:rFonts w:ascii="Arial" w:hAnsi="Arial" w:hint="default"/>
      </w:rPr>
    </w:lvl>
    <w:lvl w:ilvl="2" w:tplc="64BCD8D4" w:tentative="1">
      <w:start w:val="1"/>
      <w:numFmt w:val="bullet"/>
      <w:lvlText w:val="•"/>
      <w:lvlJc w:val="left"/>
      <w:pPr>
        <w:tabs>
          <w:tab w:val="num" w:pos="2160"/>
        </w:tabs>
        <w:ind w:left="2160" w:hanging="360"/>
      </w:pPr>
      <w:rPr>
        <w:rFonts w:ascii="Arial" w:hAnsi="Arial" w:hint="default"/>
      </w:rPr>
    </w:lvl>
    <w:lvl w:ilvl="3" w:tplc="E4EA9ECA" w:tentative="1">
      <w:start w:val="1"/>
      <w:numFmt w:val="bullet"/>
      <w:lvlText w:val="•"/>
      <w:lvlJc w:val="left"/>
      <w:pPr>
        <w:tabs>
          <w:tab w:val="num" w:pos="2880"/>
        </w:tabs>
        <w:ind w:left="2880" w:hanging="360"/>
      </w:pPr>
      <w:rPr>
        <w:rFonts w:ascii="Arial" w:hAnsi="Arial" w:hint="default"/>
      </w:rPr>
    </w:lvl>
    <w:lvl w:ilvl="4" w:tplc="3246222A" w:tentative="1">
      <w:start w:val="1"/>
      <w:numFmt w:val="bullet"/>
      <w:lvlText w:val="•"/>
      <w:lvlJc w:val="left"/>
      <w:pPr>
        <w:tabs>
          <w:tab w:val="num" w:pos="3600"/>
        </w:tabs>
        <w:ind w:left="3600" w:hanging="360"/>
      </w:pPr>
      <w:rPr>
        <w:rFonts w:ascii="Arial" w:hAnsi="Arial" w:hint="default"/>
      </w:rPr>
    </w:lvl>
    <w:lvl w:ilvl="5" w:tplc="18D611F4" w:tentative="1">
      <w:start w:val="1"/>
      <w:numFmt w:val="bullet"/>
      <w:lvlText w:val="•"/>
      <w:lvlJc w:val="left"/>
      <w:pPr>
        <w:tabs>
          <w:tab w:val="num" w:pos="4320"/>
        </w:tabs>
        <w:ind w:left="4320" w:hanging="360"/>
      </w:pPr>
      <w:rPr>
        <w:rFonts w:ascii="Arial" w:hAnsi="Arial" w:hint="default"/>
      </w:rPr>
    </w:lvl>
    <w:lvl w:ilvl="6" w:tplc="0E7636C6" w:tentative="1">
      <w:start w:val="1"/>
      <w:numFmt w:val="bullet"/>
      <w:lvlText w:val="•"/>
      <w:lvlJc w:val="left"/>
      <w:pPr>
        <w:tabs>
          <w:tab w:val="num" w:pos="5040"/>
        </w:tabs>
        <w:ind w:left="5040" w:hanging="360"/>
      </w:pPr>
      <w:rPr>
        <w:rFonts w:ascii="Arial" w:hAnsi="Arial" w:hint="default"/>
      </w:rPr>
    </w:lvl>
    <w:lvl w:ilvl="7" w:tplc="D5722520" w:tentative="1">
      <w:start w:val="1"/>
      <w:numFmt w:val="bullet"/>
      <w:lvlText w:val="•"/>
      <w:lvlJc w:val="left"/>
      <w:pPr>
        <w:tabs>
          <w:tab w:val="num" w:pos="5760"/>
        </w:tabs>
        <w:ind w:left="5760" w:hanging="360"/>
      </w:pPr>
      <w:rPr>
        <w:rFonts w:ascii="Arial" w:hAnsi="Arial" w:hint="default"/>
      </w:rPr>
    </w:lvl>
    <w:lvl w:ilvl="8" w:tplc="C69000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2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0725475"/>
    <w:multiLevelType w:val="hybridMultilevel"/>
    <w:tmpl w:val="C10C8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246A43"/>
    <w:multiLevelType w:val="hybridMultilevel"/>
    <w:tmpl w:val="10865F4C"/>
    <w:lvl w:ilvl="0" w:tplc="44D4DDA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8CD4B03"/>
    <w:multiLevelType w:val="hybridMultilevel"/>
    <w:tmpl w:val="0680D9F4"/>
    <w:lvl w:ilvl="0" w:tplc="90BE6B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03738A3"/>
    <w:multiLevelType w:val="hybridMultilevel"/>
    <w:tmpl w:val="367C7A7C"/>
    <w:lvl w:ilvl="0" w:tplc="10CE0884">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673149"/>
    <w:multiLevelType w:val="hybridMultilevel"/>
    <w:tmpl w:val="D4DE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E52A43"/>
    <w:multiLevelType w:val="hybridMultilevel"/>
    <w:tmpl w:val="B40A6D50"/>
    <w:lvl w:ilvl="0" w:tplc="04090011">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6" w15:restartNumberingAfterBreak="0">
    <w:nsid w:val="63DC46F8"/>
    <w:multiLevelType w:val="hybridMultilevel"/>
    <w:tmpl w:val="17FECFE0"/>
    <w:lvl w:ilvl="0" w:tplc="6B5876D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BE3BBC"/>
    <w:multiLevelType w:val="hybridMultilevel"/>
    <w:tmpl w:val="DB1C4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421B68"/>
    <w:multiLevelType w:val="hybridMultilevel"/>
    <w:tmpl w:val="163C68B2"/>
    <w:lvl w:ilvl="0" w:tplc="BA2E1BF2">
      <w:start w:val="1"/>
      <w:numFmt w:val="bullet"/>
      <w:lvlText w:val=""/>
      <w:lvlJc w:val="left"/>
      <w:pPr>
        <w:tabs>
          <w:tab w:val="num" w:pos="0"/>
        </w:tabs>
        <w:ind w:left="0"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start w:val="1"/>
      <w:numFmt w:val="bullet"/>
      <w:lvlText w:val=""/>
      <w:lvlJc w:val="left"/>
      <w:pPr>
        <w:tabs>
          <w:tab w:val="num" w:pos="1740"/>
        </w:tabs>
        <w:ind w:left="1740" w:hanging="420"/>
      </w:pPr>
      <w:rPr>
        <w:rFonts w:ascii="Wingdings" w:hAnsi="Wingdings" w:hint="default"/>
      </w:rPr>
    </w:lvl>
    <w:lvl w:ilvl="5" w:tplc="A7F86B9A">
      <w:start w:val="1"/>
      <w:numFmt w:val="bullet"/>
      <w:lvlText w:val=""/>
      <w:lvlJc w:val="left"/>
      <w:pPr>
        <w:tabs>
          <w:tab w:val="num" w:pos="2160"/>
        </w:tabs>
        <w:ind w:left="2160" w:hanging="420"/>
      </w:pPr>
      <w:rPr>
        <w:rFonts w:ascii="Wingdings" w:hAnsi="Wingdings" w:hint="default"/>
      </w:rPr>
    </w:lvl>
    <w:lvl w:ilvl="6" w:tplc="72C69C5A">
      <w:start w:val="1"/>
      <w:numFmt w:val="bullet"/>
      <w:lvlText w:val=""/>
      <w:lvlJc w:val="left"/>
      <w:pPr>
        <w:tabs>
          <w:tab w:val="num" w:pos="2580"/>
        </w:tabs>
        <w:ind w:left="2580" w:hanging="420"/>
      </w:pPr>
      <w:rPr>
        <w:rFonts w:ascii="Wingdings" w:hAnsi="Wingdings" w:hint="default"/>
      </w:rPr>
    </w:lvl>
    <w:lvl w:ilvl="7" w:tplc="D8A01E52">
      <w:start w:val="1"/>
      <w:numFmt w:val="bullet"/>
      <w:lvlText w:val=""/>
      <w:lvlJc w:val="left"/>
      <w:pPr>
        <w:tabs>
          <w:tab w:val="num" w:pos="3000"/>
        </w:tabs>
        <w:ind w:left="3000" w:hanging="420"/>
      </w:pPr>
      <w:rPr>
        <w:rFonts w:ascii="Wingdings" w:hAnsi="Wingdings" w:hint="default"/>
      </w:rPr>
    </w:lvl>
    <w:lvl w:ilvl="8" w:tplc="8EF4A33C">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34"/>
  </w:num>
  <w:num w:numId="3">
    <w:abstractNumId w:val="23"/>
  </w:num>
  <w:num w:numId="4">
    <w:abstractNumId w:val="38"/>
  </w:num>
  <w:num w:numId="5">
    <w:abstractNumId w:val="45"/>
  </w:num>
  <w:num w:numId="6">
    <w:abstractNumId w:val="14"/>
  </w:num>
  <w:num w:numId="7">
    <w:abstractNumId w:val="22"/>
  </w:num>
  <w:num w:numId="8">
    <w:abstractNumId w:val="12"/>
  </w:num>
  <w:num w:numId="9">
    <w:abstractNumId w:val="4"/>
  </w:num>
  <w:num w:numId="10">
    <w:abstractNumId w:val="21"/>
  </w:num>
  <w:num w:numId="11">
    <w:abstractNumId w:val="8"/>
  </w:num>
  <w:num w:numId="12">
    <w:abstractNumId w:val="30"/>
  </w:num>
  <w:num w:numId="13">
    <w:abstractNumId w:val="5"/>
  </w:num>
  <w:num w:numId="14">
    <w:abstractNumId w:val="26"/>
  </w:num>
  <w:num w:numId="15">
    <w:abstractNumId w:val="37"/>
  </w:num>
  <w:num w:numId="16">
    <w:abstractNumId w:val="1"/>
  </w:num>
  <w:num w:numId="17">
    <w:abstractNumId w:val="41"/>
  </w:num>
  <w:num w:numId="18">
    <w:abstractNumId w:val="40"/>
  </w:num>
  <w:num w:numId="19">
    <w:abstractNumId w:val="31"/>
  </w:num>
  <w:num w:numId="20">
    <w:abstractNumId w:val="10"/>
  </w:num>
  <w:num w:numId="21">
    <w:abstractNumId w:val="29"/>
  </w:num>
  <w:num w:numId="22">
    <w:abstractNumId w:val="42"/>
  </w:num>
  <w:num w:numId="23">
    <w:abstractNumId w:val="43"/>
  </w:num>
  <w:num w:numId="24">
    <w:abstractNumId w:val="18"/>
  </w:num>
  <w:num w:numId="25">
    <w:abstractNumId w:val="15"/>
  </w:num>
  <w:num w:numId="26">
    <w:abstractNumId w:val="25"/>
  </w:num>
  <w:num w:numId="27">
    <w:abstractNumId w:val="27"/>
  </w:num>
  <w:num w:numId="28">
    <w:abstractNumId w:val="35"/>
  </w:num>
  <w:num w:numId="29">
    <w:abstractNumId w:val="7"/>
  </w:num>
  <w:num w:numId="30">
    <w:abstractNumId w:val="36"/>
  </w:num>
  <w:num w:numId="31">
    <w:abstractNumId w:val="44"/>
  </w:num>
  <w:num w:numId="32">
    <w:abstractNumId w:val="17"/>
  </w:num>
  <w:num w:numId="33">
    <w:abstractNumId w:val="6"/>
  </w:num>
  <w:num w:numId="34">
    <w:abstractNumId w:val="2"/>
  </w:num>
  <w:num w:numId="35">
    <w:abstractNumId w:val="3"/>
  </w:num>
  <w:num w:numId="36">
    <w:abstractNumId w:val="9"/>
  </w:num>
  <w:num w:numId="37">
    <w:abstractNumId w:val="28"/>
  </w:num>
  <w:num w:numId="38">
    <w:abstractNumId w:val="16"/>
  </w:num>
  <w:num w:numId="39">
    <w:abstractNumId w:val="13"/>
  </w:num>
  <w:num w:numId="40">
    <w:abstractNumId w:val="33"/>
  </w:num>
  <w:num w:numId="41">
    <w:abstractNumId w:val="24"/>
  </w:num>
  <w:num w:numId="42">
    <w:abstractNumId w:val="20"/>
  </w:num>
  <w:num w:numId="43">
    <w:abstractNumId w:val="32"/>
  </w:num>
  <w:num w:numId="44">
    <w:abstractNumId w:val="11"/>
  </w:num>
  <w:num w:numId="45">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1CA1"/>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9D0"/>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70B"/>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56"/>
    <w:rsid w:val="00036FA7"/>
    <w:rsid w:val="000377E3"/>
    <w:rsid w:val="00037910"/>
    <w:rsid w:val="00037A21"/>
    <w:rsid w:val="000404F2"/>
    <w:rsid w:val="000407DE"/>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47B50"/>
    <w:rsid w:val="00047FDA"/>
    <w:rsid w:val="0005055B"/>
    <w:rsid w:val="000505E0"/>
    <w:rsid w:val="00051135"/>
    <w:rsid w:val="00051586"/>
    <w:rsid w:val="0005201C"/>
    <w:rsid w:val="0005291A"/>
    <w:rsid w:val="00052AE3"/>
    <w:rsid w:val="000531A8"/>
    <w:rsid w:val="000535DD"/>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97B"/>
    <w:rsid w:val="00071E9B"/>
    <w:rsid w:val="000722D2"/>
    <w:rsid w:val="00072E75"/>
    <w:rsid w:val="00072EFA"/>
    <w:rsid w:val="00073785"/>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3C6"/>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355"/>
    <w:rsid w:val="000B49D7"/>
    <w:rsid w:val="000B53AF"/>
    <w:rsid w:val="000B546F"/>
    <w:rsid w:val="000B60B9"/>
    <w:rsid w:val="000B65BE"/>
    <w:rsid w:val="000B6BDF"/>
    <w:rsid w:val="000B6E95"/>
    <w:rsid w:val="000B71B6"/>
    <w:rsid w:val="000B7387"/>
    <w:rsid w:val="000B76BB"/>
    <w:rsid w:val="000B7D5E"/>
    <w:rsid w:val="000C036C"/>
    <w:rsid w:val="000C0622"/>
    <w:rsid w:val="000C133A"/>
    <w:rsid w:val="000C1DBD"/>
    <w:rsid w:val="000C1F69"/>
    <w:rsid w:val="000C2DE1"/>
    <w:rsid w:val="000C393F"/>
    <w:rsid w:val="000C3987"/>
    <w:rsid w:val="000C3F16"/>
    <w:rsid w:val="000C4C76"/>
    <w:rsid w:val="000C550B"/>
    <w:rsid w:val="000C5759"/>
    <w:rsid w:val="000C5C12"/>
    <w:rsid w:val="000C5E7D"/>
    <w:rsid w:val="000C673C"/>
    <w:rsid w:val="000C687A"/>
    <w:rsid w:val="000C69F8"/>
    <w:rsid w:val="000C71D9"/>
    <w:rsid w:val="000C7C3E"/>
    <w:rsid w:val="000C7FB3"/>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4FA"/>
    <w:rsid w:val="000D46EE"/>
    <w:rsid w:val="000D49FC"/>
    <w:rsid w:val="000D4ABD"/>
    <w:rsid w:val="000D4DE6"/>
    <w:rsid w:val="000D4DEB"/>
    <w:rsid w:val="000D4DFF"/>
    <w:rsid w:val="000D55EA"/>
    <w:rsid w:val="000D5711"/>
    <w:rsid w:val="000D59D6"/>
    <w:rsid w:val="000D5AB0"/>
    <w:rsid w:val="000D5AD1"/>
    <w:rsid w:val="000D5C0C"/>
    <w:rsid w:val="000D5E4D"/>
    <w:rsid w:val="000D6838"/>
    <w:rsid w:val="000D697E"/>
    <w:rsid w:val="000D6E96"/>
    <w:rsid w:val="000D7085"/>
    <w:rsid w:val="000D7268"/>
    <w:rsid w:val="000D75CC"/>
    <w:rsid w:val="000D7783"/>
    <w:rsid w:val="000D7C7C"/>
    <w:rsid w:val="000E011D"/>
    <w:rsid w:val="000E060F"/>
    <w:rsid w:val="000E0E62"/>
    <w:rsid w:val="000E14B9"/>
    <w:rsid w:val="000E182B"/>
    <w:rsid w:val="000E1E8E"/>
    <w:rsid w:val="000E279B"/>
    <w:rsid w:val="000E3075"/>
    <w:rsid w:val="000E3358"/>
    <w:rsid w:val="000E34CF"/>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26B"/>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129"/>
    <w:rsid w:val="00101489"/>
    <w:rsid w:val="00101513"/>
    <w:rsid w:val="00101A0E"/>
    <w:rsid w:val="00101ACE"/>
    <w:rsid w:val="00102147"/>
    <w:rsid w:val="00102D2E"/>
    <w:rsid w:val="001033CB"/>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31C"/>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79F"/>
    <w:rsid w:val="001207F3"/>
    <w:rsid w:val="00121897"/>
    <w:rsid w:val="00122581"/>
    <w:rsid w:val="00122842"/>
    <w:rsid w:val="00122EB3"/>
    <w:rsid w:val="0012345C"/>
    <w:rsid w:val="001235C4"/>
    <w:rsid w:val="00123975"/>
    <w:rsid w:val="00123DED"/>
    <w:rsid w:val="00124277"/>
    <w:rsid w:val="0012467D"/>
    <w:rsid w:val="001246EC"/>
    <w:rsid w:val="001249D7"/>
    <w:rsid w:val="00124B1E"/>
    <w:rsid w:val="00124E10"/>
    <w:rsid w:val="00125078"/>
    <w:rsid w:val="001252FE"/>
    <w:rsid w:val="001257E6"/>
    <w:rsid w:val="001274AC"/>
    <w:rsid w:val="001275E6"/>
    <w:rsid w:val="00127DE2"/>
    <w:rsid w:val="00127F28"/>
    <w:rsid w:val="001301E5"/>
    <w:rsid w:val="00130714"/>
    <w:rsid w:val="00130953"/>
    <w:rsid w:val="00130B7F"/>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C76"/>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15F"/>
    <w:rsid w:val="0014624C"/>
    <w:rsid w:val="0014652F"/>
    <w:rsid w:val="00146BC8"/>
    <w:rsid w:val="0014796B"/>
    <w:rsid w:val="00147D65"/>
    <w:rsid w:val="00147D91"/>
    <w:rsid w:val="001508E1"/>
    <w:rsid w:val="00150B1A"/>
    <w:rsid w:val="00150BAF"/>
    <w:rsid w:val="00150CD5"/>
    <w:rsid w:val="00151096"/>
    <w:rsid w:val="001510B6"/>
    <w:rsid w:val="001510BE"/>
    <w:rsid w:val="001510ED"/>
    <w:rsid w:val="00151805"/>
    <w:rsid w:val="001518AA"/>
    <w:rsid w:val="00151926"/>
    <w:rsid w:val="00152066"/>
    <w:rsid w:val="0015289B"/>
    <w:rsid w:val="00152A3B"/>
    <w:rsid w:val="00153021"/>
    <w:rsid w:val="001531FD"/>
    <w:rsid w:val="0015347E"/>
    <w:rsid w:val="00153A48"/>
    <w:rsid w:val="00153A6B"/>
    <w:rsid w:val="00153EEF"/>
    <w:rsid w:val="00153F29"/>
    <w:rsid w:val="001544AB"/>
    <w:rsid w:val="0015481D"/>
    <w:rsid w:val="00154B50"/>
    <w:rsid w:val="00155AC8"/>
    <w:rsid w:val="00155F7A"/>
    <w:rsid w:val="00156260"/>
    <w:rsid w:val="0015674F"/>
    <w:rsid w:val="0016019C"/>
    <w:rsid w:val="00160674"/>
    <w:rsid w:val="00160786"/>
    <w:rsid w:val="001611A7"/>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5C6"/>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97C42"/>
    <w:rsid w:val="001A00FE"/>
    <w:rsid w:val="001A0303"/>
    <w:rsid w:val="001A032E"/>
    <w:rsid w:val="001A0421"/>
    <w:rsid w:val="001A067A"/>
    <w:rsid w:val="001A1C25"/>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9D6"/>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956"/>
    <w:rsid w:val="001B0F1F"/>
    <w:rsid w:val="001B1565"/>
    <w:rsid w:val="001B1DFA"/>
    <w:rsid w:val="001B1F17"/>
    <w:rsid w:val="001B1F29"/>
    <w:rsid w:val="001B2085"/>
    <w:rsid w:val="001B26EE"/>
    <w:rsid w:val="001B2993"/>
    <w:rsid w:val="001B3754"/>
    <w:rsid w:val="001B4419"/>
    <w:rsid w:val="001B5332"/>
    <w:rsid w:val="001B53B3"/>
    <w:rsid w:val="001B54E9"/>
    <w:rsid w:val="001B5F67"/>
    <w:rsid w:val="001B6488"/>
    <w:rsid w:val="001B6C77"/>
    <w:rsid w:val="001B70CF"/>
    <w:rsid w:val="001B716B"/>
    <w:rsid w:val="001B748B"/>
    <w:rsid w:val="001B7968"/>
    <w:rsid w:val="001C002C"/>
    <w:rsid w:val="001C0085"/>
    <w:rsid w:val="001C04E1"/>
    <w:rsid w:val="001C063F"/>
    <w:rsid w:val="001C0883"/>
    <w:rsid w:val="001C16A9"/>
    <w:rsid w:val="001C1E53"/>
    <w:rsid w:val="001C211D"/>
    <w:rsid w:val="001C2E60"/>
    <w:rsid w:val="001C3474"/>
    <w:rsid w:val="001C3A98"/>
    <w:rsid w:val="001C3DC6"/>
    <w:rsid w:val="001C3EAE"/>
    <w:rsid w:val="001C40A9"/>
    <w:rsid w:val="001C4F5F"/>
    <w:rsid w:val="001C518A"/>
    <w:rsid w:val="001C589B"/>
    <w:rsid w:val="001C58A6"/>
    <w:rsid w:val="001C5F88"/>
    <w:rsid w:val="001C619C"/>
    <w:rsid w:val="001C6D23"/>
    <w:rsid w:val="001C7185"/>
    <w:rsid w:val="001C7AB6"/>
    <w:rsid w:val="001C7F47"/>
    <w:rsid w:val="001D006C"/>
    <w:rsid w:val="001D0578"/>
    <w:rsid w:val="001D0593"/>
    <w:rsid w:val="001D073F"/>
    <w:rsid w:val="001D1097"/>
    <w:rsid w:val="001D1258"/>
    <w:rsid w:val="001D13B0"/>
    <w:rsid w:val="001D14E6"/>
    <w:rsid w:val="001D19F8"/>
    <w:rsid w:val="001D1CFF"/>
    <w:rsid w:val="001D2B3C"/>
    <w:rsid w:val="001D2BB2"/>
    <w:rsid w:val="001D2E6C"/>
    <w:rsid w:val="001D2ECD"/>
    <w:rsid w:val="001D30C7"/>
    <w:rsid w:val="001D329E"/>
    <w:rsid w:val="001D32C4"/>
    <w:rsid w:val="001D3960"/>
    <w:rsid w:val="001D3C68"/>
    <w:rsid w:val="001D4315"/>
    <w:rsid w:val="001D43C0"/>
    <w:rsid w:val="001D4969"/>
    <w:rsid w:val="001D4AF0"/>
    <w:rsid w:val="001D4F24"/>
    <w:rsid w:val="001D506F"/>
    <w:rsid w:val="001D57BC"/>
    <w:rsid w:val="001D6E61"/>
    <w:rsid w:val="001D6F0A"/>
    <w:rsid w:val="001D6F30"/>
    <w:rsid w:val="001D7260"/>
    <w:rsid w:val="001D7816"/>
    <w:rsid w:val="001D797C"/>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4D9A"/>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4B6"/>
    <w:rsid w:val="001F65B3"/>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4C3"/>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B9F"/>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1364"/>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0FCB"/>
    <w:rsid w:val="0023101D"/>
    <w:rsid w:val="002314EE"/>
    <w:rsid w:val="00231740"/>
    <w:rsid w:val="00231929"/>
    <w:rsid w:val="00231D67"/>
    <w:rsid w:val="00232191"/>
    <w:rsid w:val="00232604"/>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0A"/>
    <w:rsid w:val="0026716C"/>
    <w:rsid w:val="00270C63"/>
    <w:rsid w:val="00270C98"/>
    <w:rsid w:val="00270E57"/>
    <w:rsid w:val="00271254"/>
    <w:rsid w:val="00271738"/>
    <w:rsid w:val="0027193C"/>
    <w:rsid w:val="00271B1E"/>
    <w:rsid w:val="00271EEF"/>
    <w:rsid w:val="0027242C"/>
    <w:rsid w:val="00272474"/>
    <w:rsid w:val="00272D06"/>
    <w:rsid w:val="00272FEB"/>
    <w:rsid w:val="0027309D"/>
    <w:rsid w:val="00273564"/>
    <w:rsid w:val="002738C9"/>
    <w:rsid w:val="00273B2D"/>
    <w:rsid w:val="00273CFB"/>
    <w:rsid w:val="00274D08"/>
    <w:rsid w:val="00275435"/>
    <w:rsid w:val="00275464"/>
    <w:rsid w:val="0027568B"/>
    <w:rsid w:val="002756D5"/>
    <w:rsid w:val="00276001"/>
    <w:rsid w:val="002764FB"/>
    <w:rsid w:val="00276831"/>
    <w:rsid w:val="00277C12"/>
    <w:rsid w:val="00277E66"/>
    <w:rsid w:val="002801E2"/>
    <w:rsid w:val="0028052D"/>
    <w:rsid w:val="00280684"/>
    <w:rsid w:val="0028073A"/>
    <w:rsid w:val="00280851"/>
    <w:rsid w:val="00280960"/>
    <w:rsid w:val="002825CE"/>
    <w:rsid w:val="002826D0"/>
    <w:rsid w:val="002829E8"/>
    <w:rsid w:val="00283181"/>
    <w:rsid w:val="002835A5"/>
    <w:rsid w:val="002836DC"/>
    <w:rsid w:val="00283C0E"/>
    <w:rsid w:val="00283D6B"/>
    <w:rsid w:val="00284E7F"/>
    <w:rsid w:val="00285520"/>
    <w:rsid w:val="00285894"/>
    <w:rsid w:val="00285A76"/>
    <w:rsid w:val="00285E28"/>
    <w:rsid w:val="00286487"/>
    <w:rsid w:val="00286631"/>
    <w:rsid w:val="00286B14"/>
    <w:rsid w:val="00286F76"/>
    <w:rsid w:val="00287376"/>
    <w:rsid w:val="002877DE"/>
    <w:rsid w:val="00287C28"/>
    <w:rsid w:val="00290254"/>
    <w:rsid w:val="00290E3E"/>
    <w:rsid w:val="0029178F"/>
    <w:rsid w:val="00291B01"/>
    <w:rsid w:val="00293504"/>
    <w:rsid w:val="002944CA"/>
    <w:rsid w:val="00294722"/>
    <w:rsid w:val="00294AB1"/>
    <w:rsid w:val="00295226"/>
    <w:rsid w:val="0029548C"/>
    <w:rsid w:val="00295539"/>
    <w:rsid w:val="00295ED4"/>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31"/>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D45"/>
    <w:rsid w:val="002C04C2"/>
    <w:rsid w:val="002C0818"/>
    <w:rsid w:val="002C0DD0"/>
    <w:rsid w:val="002C0E0A"/>
    <w:rsid w:val="002C1DF1"/>
    <w:rsid w:val="002C203A"/>
    <w:rsid w:val="002C2CC9"/>
    <w:rsid w:val="002C2E8A"/>
    <w:rsid w:val="002C2FCD"/>
    <w:rsid w:val="002C36D3"/>
    <w:rsid w:val="002C3AE4"/>
    <w:rsid w:val="002C3C99"/>
    <w:rsid w:val="002C3E89"/>
    <w:rsid w:val="002C50F7"/>
    <w:rsid w:val="002C5533"/>
    <w:rsid w:val="002C5620"/>
    <w:rsid w:val="002C5A6B"/>
    <w:rsid w:val="002C5EC5"/>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DEA"/>
    <w:rsid w:val="002D6127"/>
    <w:rsid w:val="002D68C3"/>
    <w:rsid w:val="002D6C69"/>
    <w:rsid w:val="002D7433"/>
    <w:rsid w:val="002D772F"/>
    <w:rsid w:val="002D7B36"/>
    <w:rsid w:val="002E018E"/>
    <w:rsid w:val="002E04F0"/>
    <w:rsid w:val="002E0E94"/>
    <w:rsid w:val="002E16BC"/>
    <w:rsid w:val="002E1941"/>
    <w:rsid w:val="002E21D5"/>
    <w:rsid w:val="002E251B"/>
    <w:rsid w:val="002E2923"/>
    <w:rsid w:val="002E2A76"/>
    <w:rsid w:val="002E2B2A"/>
    <w:rsid w:val="002E306D"/>
    <w:rsid w:val="002E3624"/>
    <w:rsid w:val="002E3653"/>
    <w:rsid w:val="002E36AE"/>
    <w:rsid w:val="002E38B7"/>
    <w:rsid w:val="002E53F3"/>
    <w:rsid w:val="002E58E1"/>
    <w:rsid w:val="002E5BDD"/>
    <w:rsid w:val="002E5C56"/>
    <w:rsid w:val="002E679D"/>
    <w:rsid w:val="002E682E"/>
    <w:rsid w:val="002E6ECC"/>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1C3"/>
    <w:rsid w:val="00332962"/>
    <w:rsid w:val="00333331"/>
    <w:rsid w:val="00333AA1"/>
    <w:rsid w:val="00335250"/>
    <w:rsid w:val="0033592C"/>
    <w:rsid w:val="00335E2A"/>
    <w:rsid w:val="00336225"/>
    <w:rsid w:val="00336780"/>
    <w:rsid w:val="003367C5"/>
    <w:rsid w:val="003370D3"/>
    <w:rsid w:val="00337C71"/>
    <w:rsid w:val="00340E16"/>
    <w:rsid w:val="00340E58"/>
    <w:rsid w:val="00341087"/>
    <w:rsid w:val="00341CDF"/>
    <w:rsid w:val="00341FA8"/>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46A"/>
    <w:rsid w:val="0035180B"/>
    <w:rsid w:val="00351C98"/>
    <w:rsid w:val="0035216E"/>
    <w:rsid w:val="003521E9"/>
    <w:rsid w:val="003524C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7AB"/>
    <w:rsid w:val="00355A83"/>
    <w:rsid w:val="003560B8"/>
    <w:rsid w:val="003562D7"/>
    <w:rsid w:val="00356353"/>
    <w:rsid w:val="003567C9"/>
    <w:rsid w:val="0035697A"/>
    <w:rsid w:val="00356CEC"/>
    <w:rsid w:val="003572DE"/>
    <w:rsid w:val="00357659"/>
    <w:rsid w:val="00357712"/>
    <w:rsid w:val="00357D8A"/>
    <w:rsid w:val="0036012E"/>
    <w:rsid w:val="003604DB"/>
    <w:rsid w:val="0036056F"/>
    <w:rsid w:val="003617B5"/>
    <w:rsid w:val="0036185C"/>
    <w:rsid w:val="0036262C"/>
    <w:rsid w:val="00362C5A"/>
    <w:rsid w:val="00364386"/>
    <w:rsid w:val="00364A63"/>
    <w:rsid w:val="00365BE3"/>
    <w:rsid w:val="00367D2F"/>
    <w:rsid w:val="003700A7"/>
    <w:rsid w:val="00370285"/>
    <w:rsid w:val="003704EE"/>
    <w:rsid w:val="00370880"/>
    <w:rsid w:val="00370B39"/>
    <w:rsid w:val="00370EFD"/>
    <w:rsid w:val="00371137"/>
    <w:rsid w:val="003714EF"/>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1C36"/>
    <w:rsid w:val="003821E7"/>
    <w:rsid w:val="00382903"/>
    <w:rsid w:val="00383483"/>
    <w:rsid w:val="00383D4B"/>
    <w:rsid w:val="00383DDB"/>
    <w:rsid w:val="003842A8"/>
    <w:rsid w:val="003848D9"/>
    <w:rsid w:val="00385192"/>
    <w:rsid w:val="003852CC"/>
    <w:rsid w:val="0038556E"/>
    <w:rsid w:val="00385823"/>
    <w:rsid w:val="00385BD7"/>
    <w:rsid w:val="00386260"/>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46"/>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0CC8"/>
    <w:rsid w:val="003A1135"/>
    <w:rsid w:val="003A1341"/>
    <w:rsid w:val="003A162C"/>
    <w:rsid w:val="003A19E0"/>
    <w:rsid w:val="003A1DD5"/>
    <w:rsid w:val="003A2019"/>
    <w:rsid w:val="003A2C8B"/>
    <w:rsid w:val="003A2D39"/>
    <w:rsid w:val="003A2FE7"/>
    <w:rsid w:val="003A42BB"/>
    <w:rsid w:val="003A451C"/>
    <w:rsid w:val="003A45FB"/>
    <w:rsid w:val="003A48FC"/>
    <w:rsid w:val="003A4E82"/>
    <w:rsid w:val="003A590E"/>
    <w:rsid w:val="003A6330"/>
    <w:rsid w:val="003A67EA"/>
    <w:rsid w:val="003A6BC9"/>
    <w:rsid w:val="003A6F04"/>
    <w:rsid w:val="003A76A9"/>
    <w:rsid w:val="003A7747"/>
    <w:rsid w:val="003B0299"/>
    <w:rsid w:val="003B0901"/>
    <w:rsid w:val="003B0B4D"/>
    <w:rsid w:val="003B1046"/>
    <w:rsid w:val="003B14B8"/>
    <w:rsid w:val="003B1575"/>
    <w:rsid w:val="003B188F"/>
    <w:rsid w:val="003B1CC2"/>
    <w:rsid w:val="003B21B1"/>
    <w:rsid w:val="003B2B79"/>
    <w:rsid w:val="003B4482"/>
    <w:rsid w:val="003B467D"/>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B7F"/>
    <w:rsid w:val="003C4D16"/>
    <w:rsid w:val="003C4D8C"/>
    <w:rsid w:val="003C4E27"/>
    <w:rsid w:val="003C4F25"/>
    <w:rsid w:val="003C6580"/>
    <w:rsid w:val="003C7126"/>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D3"/>
    <w:rsid w:val="003D5717"/>
    <w:rsid w:val="003D5878"/>
    <w:rsid w:val="003D59FE"/>
    <w:rsid w:val="003D60D5"/>
    <w:rsid w:val="003D63BA"/>
    <w:rsid w:val="003D680E"/>
    <w:rsid w:val="003D79E8"/>
    <w:rsid w:val="003E005D"/>
    <w:rsid w:val="003E089F"/>
    <w:rsid w:val="003E09A7"/>
    <w:rsid w:val="003E0ADB"/>
    <w:rsid w:val="003E0CE4"/>
    <w:rsid w:val="003E1304"/>
    <w:rsid w:val="003E1748"/>
    <w:rsid w:val="003E1C39"/>
    <w:rsid w:val="003E1CF4"/>
    <w:rsid w:val="003E240A"/>
    <w:rsid w:val="003E2BF4"/>
    <w:rsid w:val="003E34E1"/>
    <w:rsid w:val="003E3524"/>
    <w:rsid w:val="003E3C5B"/>
    <w:rsid w:val="003E3D11"/>
    <w:rsid w:val="003E40C9"/>
    <w:rsid w:val="003E4A1D"/>
    <w:rsid w:val="003E4CDB"/>
    <w:rsid w:val="003E4E0C"/>
    <w:rsid w:val="003E4FEB"/>
    <w:rsid w:val="003E52EB"/>
    <w:rsid w:val="003E54E9"/>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1C4F"/>
    <w:rsid w:val="00412697"/>
    <w:rsid w:val="00412F8D"/>
    <w:rsid w:val="00413369"/>
    <w:rsid w:val="00414129"/>
    <w:rsid w:val="0041425C"/>
    <w:rsid w:val="004145AE"/>
    <w:rsid w:val="00414B54"/>
    <w:rsid w:val="0041577E"/>
    <w:rsid w:val="004157F6"/>
    <w:rsid w:val="004159D3"/>
    <w:rsid w:val="00415A14"/>
    <w:rsid w:val="0041616C"/>
    <w:rsid w:val="00416A66"/>
    <w:rsid w:val="00416DCB"/>
    <w:rsid w:val="00417678"/>
    <w:rsid w:val="00417ADC"/>
    <w:rsid w:val="00417D6C"/>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B0D"/>
    <w:rsid w:val="00434D46"/>
    <w:rsid w:val="00435248"/>
    <w:rsid w:val="004353C1"/>
    <w:rsid w:val="0043542F"/>
    <w:rsid w:val="004355EB"/>
    <w:rsid w:val="00435602"/>
    <w:rsid w:val="004356FA"/>
    <w:rsid w:val="00435B68"/>
    <w:rsid w:val="00435CCF"/>
    <w:rsid w:val="00436A3B"/>
    <w:rsid w:val="00437027"/>
    <w:rsid w:val="004371AB"/>
    <w:rsid w:val="004402A7"/>
    <w:rsid w:val="0044035D"/>
    <w:rsid w:val="00440EA5"/>
    <w:rsid w:val="0044131C"/>
    <w:rsid w:val="0044142F"/>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A8E"/>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448"/>
    <w:rsid w:val="00463E20"/>
    <w:rsid w:val="0046434B"/>
    <w:rsid w:val="00464513"/>
    <w:rsid w:val="00464919"/>
    <w:rsid w:val="00464EE0"/>
    <w:rsid w:val="00465461"/>
    <w:rsid w:val="00465467"/>
    <w:rsid w:val="00465573"/>
    <w:rsid w:val="004658C3"/>
    <w:rsid w:val="00465EB3"/>
    <w:rsid w:val="004660D1"/>
    <w:rsid w:val="004661D4"/>
    <w:rsid w:val="0046645E"/>
    <w:rsid w:val="00467838"/>
    <w:rsid w:val="0047041E"/>
    <w:rsid w:val="00470750"/>
    <w:rsid w:val="00470893"/>
    <w:rsid w:val="00470A0E"/>
    <w:rsid w:val="00470E35"/>
    <w:rsid w:val="00470EE3"/>
    <w:rsid w:val="0047166D"/>
    <w:rsid w:val="00471856"/>
    <w:rsid w:val="004719A1"/>
    <w:rsid w:val="00471B63"/>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BCA"/>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A15"/>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3F4F"/>
    <w:rsid w:val="004B45A2"/>
    <w:rsid w:val="004B4754"/>
    <w:rsid w:val="004B4A0F"/>
    <w:rsid w:val="004B4AA2"/>
    <w:rsid w:val="004B4C67"/>
    <w:rsid w:val="004B50E0"/>
    <w:rsid w:val="004B55EC"/>
    <w:rsid w:val="004B5884"/>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534"/>
    <w:rsid w:val="004D171F"/>
    <w:rsid w:val="004D1A33"/>
    <w:rsid w:val="004D1D64"/>
    <w:rsid w:val="004D2474"/>
    <w:rsid w:val="004D24F2"/>
    <w:rsid w:val="004D27C4"/>
    <w:rsid w:val="004D2E1A"/>
    <w:rsid w:val="004D2E57"/>
    <w:rsid w:val="004D3251"/>
    <w:rsid w:val="004D34FD"/>
    <w:rsid w:val="004D4968"/>
    <w:rsid w:val="004D4977"/>
    <w:rsid w:val="004D4A8A"/>
    <w:rsid w:val="004D4BEA"/>
    <w:rsid w:val="004D50CC"/>
    <w:rsid w:val="004D58D1"/>
    <w:rsid w:val="004D5F02"/>
    <w:rsid w:val="004D68C0"/>
    <w:rsid w:val="004D710C"/>
    <w:rsid w:val="004D7448"/>
    <w:rsid w:val="004E0019"/>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1E8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4F7FE8"/>
    <w:rsid w:val="0050031C"/>
    <w:rsid w:val="005004F7"/>
    <w:rsid w:val="00500798"/>
    <w:rsid w:val="005007E7"/>
    <w:rsid w:val="00500A59"/>
    <w:rsid w:val="005012BB"/>
    <w:rsid w:val="0050132F"/>
    <w:rsid w:val="00501723"/>
    <w:rsid w:val="00501A8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10374"/>
    <w:rsid w:val="00510444"/>
    <w:rsid w:val="00510B25"/>
    <w:rsid w:val="00511E67"/>
    <w:rsid w:val="00512747"/>
    <w:rsid w:val="005130B9"/>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22"/>
    <w:rsid w:val="00540EB6"/>
    <w:rsid w:val="005417A0"/>
    <w:rsid w:val="00541E2B"/>
    <w:rsid w:val="005422F1"/>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210"/>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6E"/>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49F0"/>
    <w:rsid w:val="00565672"/>
    <w:rsid w:val="00565679"/>
    <w:rsid w:val="0056719E"/>
    <w:rsid w:val="005701C5"/>
    <w:rsid w:val="005703E3"/>
    <w:rsid w:val="0057054C"/>
    <w:rsid w:val="005706C1"/>
    <w:rsid w:val="00570825"/>
    <w:rsid w:val="005708C3"/>
    <w:rsid w:val="005708C6"/>
    <w:rsid w:val="00570C83"/>
    <w:rsid w:val="00571358"/>
    <w:rsid w:val="00571382"/>
    <w:rsid w:val="00572245"/>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648"/>
    <w:rsid w:val="005809EB"/>
    <w:rsid w:val="00580BA3"/>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1EC"/>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0E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9DC"/>
    <w:rsid w:val="005F3CF8"/>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0D"/>
    <w:rsid w:val="00612C73"/>
    <w:rsid w:val="00613036"/>
    <w:rsid w:val="006134CE"/>
    <w:rsid w:val="006138D8"/>
    <w:rsid w:val="00614064"/>
    <w:rsid w:val="006141D8"/>
    <w:rsid w:val="0061485E"/>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38"/>
    <w:rsid w:val="0062286B"/>
    <w:rsid w:val="00623081"/>
    <w:rsid w:val="00623427"/>
    <w:rsid w:val="00623EF3"/>
    <w:rsid w:val="00624AFA"/>
    <w:rsid w:val="00624C6E"/>
    <w:rsid w:val="00624D69"/>
    <w:rsid w:val="00624FB3"/>
    <w:rsid w:val="00625B24"/>
    <w:rsid w:val="0062657C"/>
    <w:rsid w:val="00626C25"/>
    <w:rsid w:val="00626E64"/>
    <w:rsid w:val="006278A3"/>
    <w:rsid w:val="00627BA3"/>
    <w:rsid w:val="00627C39"/>
    <w:rsid w:val="00627CDB"/>
    <w:rsid w:val="00627E44"/>
    <w:rsid w:val="006300D7"/>
    <w:rsid w:val="006304C9"/>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2D77"/>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210"/>
    <w:rsid w:val="00652BB4"/>
    <w:rsid w:val="00653273"/>
    <w:rsid w:val="00654346"/>
    <w:rsid w:val="006544F6"/>
    <w:rsid w:val="0065461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5EA7"/>
    <w:rsid w:val="006672FC"/>
    <w:rsid w:val="00667A27"/>
    <w:rsid w:val="006704BF"/>
    <w:rsid w:val="00670AD6"/>
    <w:rsid w:val="00670ECD"/>
    <w:rsid w:val="00671C8F"/>
    <w:rsid w:val="006724DA"/>
    <w:rsid w:val="00672966"/>
    <w:rsid w:val="006729A2"/>
    <w:rsid w:val="00672F44"/>
    <w:rsid w:val="0067330E"/>
    <w:rsid w:val="006735BC"/>
    <w:rsid w:val="006737DD"/>
    <w:rsid w:val="00673BDE"/>
    <w:rsid w:val="00673EB7"/>
    <w:rsid w:val="00673FBF"/>
    <w:rsid w:val="00674460"/>
    <w:rsid w:val="0067517B"/>
    <w:rsid w:val="00675573"/>
    <w:rsid w:val="00675652"/>
    <w:rsid w:val="00675750"/>
    <w:rsid w:val="006757DC"/>
    <w:rsid w:val="006767B8"/>
    <w:rsid w:val="00677725"/>
    <w:rsid w:val="0068013A"/>
    <w:rsid w:val="006807A6"/>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97C"/>
    <w:rsid w:val="00690D12"/>
    <w:rsid w:val="00690F0E"/>
    <w:rsid w:val="006919C5"/>
    <w:rsid w:val="00691D43"/>
    <w:rsid w:val="006921AE"/>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442"/>
    <w:rsid w:val="006A18CF"/>
    <w:rsid w:val="006A18DD"/>
    <w:rsid w:val="006A1A6F"/>
    <w:rsid w:val="006A2347"/>
    <w:rsid w:val="006A24B3"/>
    <w:rsid w:val="006A2A36"/>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790"/>
    <w:rsid w:val="006D492A"/>
    <w:rsid w:val="006D493C"/>
    <w:rsid w:val="006D4F72"/>
    <w:rsid w:val="006D53E3"/>
    <w:rsid w:val="006D59BF"/>
    <w:rsid w:val="006D5AE7"/>
    <w:rsid w:val="006D5EC2"/>
    <w:rsid w:val="006D5FEF"/>
    <w:rsid w:val="006D615D"/>
    <w:rsid w:val="006D7598"/>
    <w:rsid w:val="006D7B93"/>
    <w:rsid w:val="006D7DAD"/>
    <w:rsid w:val="006E03A3"/>
    <w:rsid w:val="006E0B16"/>
    <w:rsid w:val="006E0E60"/>
    <w:rsid w:val="006E0ED0"/>
    <w:rsid w:val="006E176F"/>
    <w:rsid w:val="006E1B3E"/>
    <w:rsid w:val="006E1E1C"/>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B73"/>
    <w:rsid w:val="006F0C12"/>
    <w:rsid w:val="006F0EB1"/>
    <w:rsid w:val="006F1008"/>
    <w:rsid w:val="006F1210"/>
    <w:rsid w:val="006F1D86"/>
    <w:rsid w:val="006F22CB"/>
    <w:rsid w:val="006F291E"/>
    <w:rsid w:val="006F2BD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E51"/>
    <w:rsid w:val="007017EA"/>
    <w:rsid w:val="0070181F"/>
    <w:rsid w:val="0070193E"/>
    <w:rsid w:val="00701B27"/>
    <w:rsid w:val="00702BFC"/>
    <w:rsid w:val="0070328C"/>
    <w:rsid w:val="007034BC"/>
    <w:rsid w:val="007035F6"/>
    <w:rsid w:val="007036E5"/>
    <w:rsid w:val="007041F5"/>
    <w:rsid w:val="007043F5"/>
    <w:rsid w:val="007047A7"/>
    <w:rsid w:val="00704A33"/>
    <w:rsid w:val="00704DEB"/>
    <w:rsid w:val="00705584"/>
    <w:rsid w:val="00705E96"/>
    <w:rsid w:val="00706E08"/>
    <w:rsid w:val="00706E34"/>
    <w:rsid w:val="0070711F"/>
    <w:rsid w:val="0070743B"/>
    <w:rsid w:val="007101EE"/>
    <w:rsid w:val="00710994"/>
    <w:rsid w:val="007109CD"/>
    <w:rsid w:val="00710A3E"/>
    <w:rsid w:val="00710D33"/>
    <w:rsid w:val="007110FE"/>
    <w:rsid w:val="00711760"/>
    <w:rsid w:val="007117D6"/>
    <w:rsid w:val="0071196B"/>
    <w:rsid w:val="00711A0F"/>
    <w:rsid w:val="00711AE4"/>
    <w:rsid w:val="00711B20"/>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2EA5"/>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3A3"/>
    <w:rsid w:val="007377ED"/>
    <w:rsid w:val="007379C8"/>
    <w:rsid w:val="00740698"/>
    <w:rsid w:val="007406C0"/>
    <w:rsid w:val="00740AC1"/>
    <w:rsid w:val="00740CD3"/>
    <w:rsid w:val="0074108B"/>
    <w:rsid w:val="007412E5"/>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66AC"/>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782"/>
    <w:rsid w:val="007649E6"/>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3E30"/>
    <w:rsid w:val="00774099"/>
    <w:rsid w:val="007743A1"/>
    <w:rsid w:val="007744EF"/>
    <w:rsid w:val="007750DC"/>
    <w:rsid w:val="00775330"/>
    <w:rsid w:val="00775BAA"/>
    <w:rsid w:val="00775ED2"/>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1FC"/>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2CC"/>
    <w:rsid w:val="007916D2"/>
    <w:rsid w:val="007917F5"/>
    <w:rsid w:val="00791ADE"/>
    <w:rsid w:val="00791BEA"/>
    <w:rsid w:val="00792385"/>
    <w:rsid w:val="007926B7"/>
    <w:rsid w:val="00792ECC"/>
    <w:rsid w:val="007939C7"/>
    <w:rsid w:val="00793F70"/>
    <w:rsid w:val="007947FB"/>
    <w:rsid w:val="00795314"/>
    <w:rsid w:val="007954AC"/>
    <w:rsid w:val="0079601B"/>
    <w:rsid w:val="007962E1"/>
    <w:rsid w:val="0079663F"/>
    <w:rsid w:val="00796E86"/>
    <w:rsid w:val="00796F91"/>
    <w:rsid w:val="00797DAA"/>
    <w:rsid w:val="00797FCF"/>
    <w:rsid w:val="007A05BE"/>
    <w:rsid w:val="007A0616"/>
    <w:rsid w:val="007A0DAC"/>
    <w:rsid w:val="007A0FE4"/>
    <w:rsid w:val="007A1189"/>
    <w:rsid w:val="007A15BA"/>
    <w:rsid w:val="007A166E"/>
    <w:rsid w:val="007A1B63"/>
    <w:rsid w:val="007A1EE8"/>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6E"/>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4EB"/>
    <w:rsid w:val="007C45D9"/>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3E33"/>
    <w:rsid w:val="007D4CCF"/>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4D0"/>
    <w:rsid w:val="007F05E0"/>
    <w:rsid w:val="007F0B77"/>
    <w:rsid w:val="007F0DD3"/>
    <w:rsid w:val="007F18C0"/>
    <w:rsid w:val="007F22A5"/>
    <w:rsid w:val="007F238B"/>
    <w:rsid w:val="007F2DBB"/>
    <w:rsid w:val="007F2ED4"/>
    <w:rsid w:val="007F3FB0"/>
    <w:rsid w:val="007F43A9"/>
    <w:rsid w:val="007F5140"/>
    <w:rsid w:val="007F5608"/>
    <w:rsid w:val="007F5874"/>
    <w:rsid w:val="007F5D4A"/>
    <w:rsid w:val="007F6562"/>
    <w:rsid w:val="007F65F2"/>
    <w:rsid w:val="007F70D6"/>
    <w:rsid w:val="007F7864"/>
    <w:rsid w:val="007F7896"/>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6B2"/>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056"/>
    <w:rsid w:val="008123D5"/>
    <w:rsid w:val="008124FE"/>
    <w:rsid w:val="008127B0"/>
    <w:rsid w:val="008128AD"/>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324"/>
    <w:rsid w:val="00820DF1"/>
    <w:rsid w:val="0082172C"/>
    <w:rsid w:val="008226FB"/>
    <w:rsid w:val="0082274B"/>
    <w:rsid w:val="00823335"/>
    <w:rsid w:val="008237B2"/>
    <w:rsid w:val="00823F61"/>
    <w:rsid w:val="0082449E"/>
    <w:rsid w:val="008249FF"/>
    <w:rsid w:val="00824C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134"/>
    <w:rsid w:val="0083657B"/>
    <w:rsid w:val="00836B5B"/>
    <w:rsid w:val="00836FC2"/>
    <w:rsid w:val="00837034"/>
    <w:rsid w:val="0083768C"/>
    <w:rsid w:val="008401C3"/>
    <w:rsid w:val="008403BA"/>
    <w:rsid w:val="008404D7"/>
    <w:rsid w:val="00840634"/>
    <w:rsid w:val="00840A68"/>
    <w:rsid w:val="00840A83"/>
    <w:rsid w:val="00840D46"/>
    <w:rsid w:val="0084123D"/>
    <w:rsid w:val="00841573"/>
    <w:rsid w:val="008419A1"/>
    <w:rsid w:val="00841EB3"/>
    <w:rsid w:val="00842061"/>
    <w:rsid w:val="008420F8"/>
    <w:rsid w:val="008426B0"/>
    <w:rsid w:val="00842DB7"/>
    <w:rsid w:val="0084387F"/>
    <w:rsid w:val="00843AFD"/>
    <w:rsid w:val="008444F8"/>
    <w:rsid w:val="00844750"/>
    <w:rsid w:val="00845D62"/>
    <w:rsid w:val="00845F51"/>
    <w:rsid w:val="00845F6D"/>
    <w:rsid w:val="00846106"/>
    <w:rsid w:val="008462E7"/>
    <w:rsid w:val="00846467"/>
    <w:rsid w:val="00846CC4"/>
    <w:rsid w:val="00847991"/>
    <w:rsid w:val="00847C4E"/>
    <w:rsid w:val="00850D75"/>
    <w:rsid w:val="0085130C"/>
    <w:rsid w:val="0085189D"/>
    <w:rsid w:val="00851B22"/>
    <w:rsid w:val="00851FD2"/>
    <w:rsid w:val="008521C5"/>
    <w:rsid w:val="00852338"/>
    <w:rsid w:val="00852F3B"/>
    <w:rsid w:val="00853B2A"/>
    <w:rsid w:val="00853C45"/>
    <w:rsid w:val="00854090"/>
    <w:rsid w:val="008540E5"/>
    <w:rsid w:val="00854983"/>
    <w:rsid w:val="00854B60"/>
    <w:rsid w:val="008555D9"/>
    <w:rsid w:val="00856301"/>
    <w:rsid w:val="00856562"/>
    <w:rsid w:val="0085663E"/>
    <w:rsid w:val="008566E7"/>
    <w:rsid w:val="00856943"/>
    <w:rsid w:val="008569DF"/>
    <w:rsid w:val="00856E4A"/>
    <w:rsid w:val="00856FF3"/>
    <w:rsid w:val="0085722A"/>
    <w:rsid w:val="008577BE"/>
    <w:rsid w:val="00857C34"/>
    <w:rsid w:val="00860212"/>
    <w:rsid w:val="00860315"/>
    <w:rsid w:val="0086037F"/>
    <w:rsid w:val="00861B41"/>
    <w:rsid w:val="00861D65"/>
    <w:rsid w:val="00861DA1"/>
    <w:rsid w:val="008620C2"/>
    <w:rsid w:val="00862173"/>
    <w:rsid w:val="00862290"/>
    <w:rsid w:val="008626B0"/>
    <w:rsid w:val="00862988"/>
    <w:rsid w:val="00863479"/>
    <w:rsid w:val="00863AA0"/>
    <w:rsid w:val="00863F4F"/>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75"/>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6E2B"/>
    <w:rsid w:val="0087721D"/>
    <w:rsid w:val="0087746C"/>
    <w:rsid w:val="00877C57"/>
    <w:rsid w:val="00877FA3"/>
    <w:rsid w:val="0088011E"/>
    <w:rsid w:val="008804C9"/>
    <w:rsid w:val="0088052B"/>
    <w:rsid w:val="00880B3D"/>
    <w:rsid w:val="00880BBA"/>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6C6"/>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8E8"/>
    <w:rsid w:val="008A7BEA"/>
    <w:rsid w:val="008A7C09"/>
    <w:rsid w:val="008B01A2"/>
    <w:rsid w:val="008B097E"/>
    <w:rsid w:val="008B0C49"/>
    <w:rsid w:val="008B0CD0"/>
    <w:rsid w:val="008B0FE8"/>
    <w:rsid w:val="008B130E"/>
    <w:rsid w:val="008B1651"/>
    <w:rsid w:val="008B175A"/>
    <w:rsid w:val="008B1EFF"/>
    <w:rsid w:val="008B21F5"/>
    <w:rsid w:val="008B2436"/>
    <w:rsid w:val="008B269F"/>
    <w:rsid w:val="008B2A2E"/>
    <w:rsid w:val="008B2D1D"/>
    <w:rsid w:val="008B2DEB"/>
    <w:rsid w:val="008B35ED"/>
    <w:rsid w:val="008B3691"/>
    <w:rsid w:val="008B41EF"/>
    <w:rsid w:val="008B4230"/>
    <w:rsid w:val="008B447F"/>
    <w:rsid w:val="008B4B0D"/>
    <w:rsid w:val="008B4B33"/>
    <w:rsid w:val="008B5577"/>
    <w:rsid w:val="008B5F84"/>
    <w:rsid w:val="008B60E9"/>
    <w:rsid w:val="008B60ED"/>
    <w:rsid w:val="008B6E5C"/>
    <w:rsid w:val="008B766A"/>
    <w:rsid w:val="008B7A0E"/>
    <w:rsid w:val="008C1E46"/>
    <w:rsid w:val="008C1F46"/>
    <w:rsid w:val="008C2426"/>
    <w:rsid w:val="008C2453"/>
    <w:rsid w:val="008C26B4"/>
    <w:rsid w:val="008C28BA"/>
    <w:rsid w:val="008C3240"/>
    <w:rsid w:val="008C3E50"/>
    <w:rsid w:val="008C4188"/>
    <w:rsid w:val="008C4AED"/>
    <w:rsid w:val="008C4B47"/>
    <w:rsid w:val="008C59D5"/>
    <w:rsid w:val="008C5B10"/>
    <w:rsid w:val="008C6C7A"/>
    <w:rsid w:val="008C6F4F"/>
    <w:rsid w:val="008C74CC"/>
    <w:rsid w:val="008C7F77"/>
    <w:rsid w:val="008D02CB"/>
    <w:rsid w:val="008D0459"/>
    <w:rsid w:val="008D05D2"/>
    <w:rsid w:val="008D0EE3"/>
    <w:rsid w:val="008D13DC"/>
    <w:rsid w:val="008D149D"/>
    <w:rsid w:val="008D1E23"/>
    <w:rsid w:val="008D2461"/>
    <w:rsid w:val="008D3208"/>
    <w:rsid w:val="008D3F21"/>
    <w:rsid w:val="008D4277"/>
    <w:rsid w:val="008D453F"/>
    <w:rsid w:val="008D5086"/>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4C4"/>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D19"/>
    <w:rsid w:val="009108A7"/>
    <w:rsid w:val="00910ED6"/>
    <w:rsid w:val="00911E1A"/>
    <w:rsid w:val="009123B9"/>
    <w:rsid w:val="00912AFD"/>
    <w:rsid w:val="00913C16"/>
    <w:rsid w:val="00913F4C"/>
    <w:rsid w:val="0091404B"/>
    <w:rsid w:val="0091423A"/>
    <w:rsid w:val="00914A5D"/>
    <w:rsid w:val="00914F86"/>
    <w:rsid w:val="00915032"/>
    <w:rsid w:val="0091537E"/>
    <w:rsid w:val="009154BD"/>
    <w:rsid w:val="0091610F"/>
    <w:rsid w:val="009161BA"/>
    <w:rsid w:val="00916827"/>
    <w:rsid w:val="009168AC"/>
    <w:rsid w:val="009204A6"/>
    <w:rsid w:val="00920FE4"/>
    <w:rsid w:val="00921140"/>
    <w:rsid w:val="00921619"/>
    <w:rsid w:val="009216BF"/>
    <w:rsid w:val="009218D2"/>
    <w:rsid w:val="00921A74"/>
    <w:rsid w:val="00921A98"/>
    <w:rsid w:val="00921C9F"/>
    <w:rsid w:val="00921ED5"/>
    <w:rsid w:val="00921FA1"/>
    <w:rsid w:val="009225B6"/>
    <w:rsid w:val="0092286C"/>
    <w:rsid w:val="00923151"/>
    <w:rsid w:val="00923ABA"/>
    <w:rsid w:val="00924108"/>
    <w:rsid w:val="0092434B"/>
    <w:rsid w:val="009247D8"/>
    <w:rsid w:val="00924F5D"/>
    <w:rsid w:val="0092507E"/>
    <w:rsid w:val="009251C6"/>
    <w:rsid w:val="00925836"/>
    <w:rsid w:val="00925DD1"/>
    <w:rsid w:val="009260EC"/>
    <w:rsid w:val="00926264"/>
    <w:rsid w:val="00926595"/>
    <w:rsid w:val="0092698B"/>
    <w:rsid w:val="009269EB"/>
    <w:rsid w:val="00927211"/>
    <w:rsid w:val="00927752"/>
    <w:rsid w:val="00930305"/>
    <w:rsid w:val="0093063D"/>
    <w:rsid w:val="0093135E"/>
    <w:rsid w:val="009317D7"/>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5F9B"/>
    <w:rsid w:val="009462D8"/>
    <w:rsid w:val="00946388"/>
    <w:rsid w:val="009509D7"/>
    <w:rsid w:val="00950B09"/>
    <w:rsid w:val="00950C6F"/>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D2C"/>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766"/>
    <w:rsid w:val="00970F7A"/>
    <w:rsid w:val="00970FE3"/>
    <w:rsid w:val="00971190"/>
    <w:rsid w:val="00971EC5"/>
    <w:rsid w:val="00971F6B"/>
    <w:rsid w:val="00971FCC"/>
    <w:rsid w:val="00972822"/>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B07"/>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416"/>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45CF"/>
    <w:rsid w:val="00994F83"/>
    <w:rsid w:val="00995360"/>
    <w:rsid w:val="009954AD"/>
    <w:rsid w:val="00996546"/>
    <w:rsid w:val="00996A8B"/>
    <w:rsid w:val="00996CD1"/>
    <w:rsid w:val="00996CD4"/>
    <w:rsid w:val="0099713E"/>
    <w:rsid w:val="0099731A"/>
    <w:rsid w:val="009979D6"/>
    <w:rsid w:val="00997CA3"/>
    <w:rsid w:val="009A0212"/>
    <w:rsid w:val="009A031F"/>
    <w:rsid w:val="009A041C"/>
    <w:rsid w:val="009A1CC9"/>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D91"/>
    <w:rsid w:val="009B3221"/>
    <w:rsid w:val="009B346F"/>
    <w:rsid w:val="009B3745"/>
    <w:rsid w:val="009B3C79"/>
    <w:rsid w:val="009B43C8"/>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809"/>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3A"/>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243"/>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178BB"/>
    <w:rsid w:val="00A20253"/>
    <w:rsid w:val="00A2049C"/>
    <w:rsid w:val="00A205BF"/>
    <w:rsid w:val="00A20A47"/>
    <w:rsid w:val="00A2104B"/>
    <w:rsid w:val="00A21063"/>
    <w:rsid w:val="00A210E9"/>
    <w:rsid w:val="00A211E7"/>
    <w:rsid w:val="00A218AE"/>
    <w:rsid w:val="00A21A9D"/>
    <w:rsid w:val="00A21AAA"/>
    <w:rsid w:val="00A21E51"/>
    <w:rsid w:val="00A22132"/>
    <w:rsid w:val="00A22207"/>
    <w:rsid w:val="00A22479"/>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1BB"/>
    <w:rsid w:val="00A35316"/>
    <w:rsid w:val="00A353D3"/>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2C47"/>
    <w:rsid w:val="00A4339C"/>
    <w:rsid w:val="00A4340E"/>
    <w:rsid w:val="00A447BA"/>
    <w:rsid w:val="00A44882"/>
    <w:rsid w:val="00A44AA5"/>
    <w:rsid w:val="00A44E28"/>
    <w:rsid w:val="00A4570E"/>
    <w:rsid w:val="00A45A3B"/>
    <w:rsid w:val="00A466F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1FE"/>
    <w:rsid w:val="00A677C1"/>
    <w:rsid w:val="00A67A8E"/>
    <w:rsid w:val="00A67AC6"/>
    <w:rsid w:val="00A70478"/>
    <w:rsid w:val="00A70A35"/>
    <w:rsid w:val="00A7141F"/>
    <w:rsid w:val="00A71D6B"/>
    <w:rsid w:val="00A71F1F"/>
    <w:rsid w:val="00A73873"/>
    <w:rsid w:val="00A73899"/>
    <w:rsid w:val="00A744A2"/>
    <w:rsid w:val="00A745D7"/>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04B"/>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2F2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CAF"/>
    <w:rsid w:val="00AC4D53"/>
    <w:rsid w:val="00AC4E2E"/>
    <w:rsid w:val="00AC5A3B"/>
    <w:rsid w:val="00AC61B3"/>
    <w:rsid w:val="00AC63F4"/>
    <w:rsid w:val="00AC6521"/>
    <w:rsid w:val="00AC690A"/>
    <w:rsid w:val="00AC6D0A"/>
    <w:rsid w:val="00AD12BD"/>
    <w:rsid w:val="00AD163D"/>
    <w:rsid w:val="00AD1DFE"/>
    <w:rsid w:val="00AD1E60"/>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AC2"/>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DA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5AD"/>
    <w:rsid w:val="00B24F49"/>
    <w:rsid w:val="00B251CC"/>
    <w:rsid w:val="00B254EC"/>
    <w:rsid w:val="00B25585"/>
    <w:rsid w:val="00B25A70"/>
    <w:rsid w:val="00B25BD8"/>
    <w:rsid w:val="00B25E1D"/>
    <w:rsid w:val="00B25F9A"/>
    <w:rsid w:val="00B2613A"/>
    <w:rsid w:val="00B269CE"/>
    <w:rsid w:val="00B2757B"/>
    <w:rsid w:val="00B27D54"/>
    <w:rsid w:val="00B305C0"/>
    <w:rsid w:val="00B31E5F"/>
    <w:rsid w:val="00B32607"/>
    <w:rsid w:val="00B32690"/>
    <w:rsid w:val="00B326BE"/>
    <w:rsid w:val="00B32821"/>
    <w:rsid w:val="00B32CE3"/>
    <w:rsid w:val="00B33183"/>
    <w:rsid w:val="00B33595"/>
    <w:rsid w:val="00B3396B"/>
    <w:rsid w:val="00B33B14"/>
    <w:rsid w:val="00B34886"/>
    <w:rsid w:val="00B3488B"/>
    <w:rsid w:val="00B3511C"/>
    <w:rsid w:val="00B3539A"/>
    <w:rsid w:val="00B35CB3"/>
    <w:rsid w:val="00B35F8E"/>
    <w:rsid w:val="00B36A3D"/>
    <w:rsid w:val="00B37121"/>
    <w:rsid w:val="00B4003E"/>
    <w:rsid w:val="00B40292"/>
    <w:rsid w:val="00B406B2"/>
    <w:rsid w:val="00B40D73"/>
    <w:rsid w:val="00B40DA9"/>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7C8"/>
    <w:rsid w:val="00B43985"/>
    <w:rsid w:val="00B439FA"/>
    <w:rsid w:val="00B43D4D"/>
    <w:rsid w:val="00B440CF"/>
    <w:rsid w:val="00B44395"/>
    <w:rsid w:val="00B443C5"/>
    <w:rsid w:val="00B4485B"/>
    <w:rsid w:val="00B45A61"/>
    <w:rsid w:val="00B462D6"/>
    <w:rsid w:val="00B46BBB"/>
    <w:rsid w:val="00B47784"/>
    <w:rsid w:val="00B4783F"/>
    <w:rsid w:val="00B47CEF"/>
    <w:rsid w:val="00B5025E"/>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57B61"/>
    <w:rsid w:val="00B607B8"/>
    <w:rsid w:val="00B60E6E"/>
    <w:rsid w:val="00B6184F"/>
    <w:rsid w:val="00B619AF"/>
    <w:rsid w:val="00B61B85"/>
    <w:rsid w:val="00B61C28"/>
    <w:rsid w:val="00B61CFF"/>
    <w:rsid w:val="00B61F70"/>
    <w:rsid w:val="00B61FA6"/>
    <w:rsid w:val="00B6237B"/>
    <w:rsid w:val="00B62810"/>
    <w:rsid w:val="00B62A18"/>
    <w:rsid w:val="00B63870"/>
    <w:rsid w:val="00B640AB"/>
    <w:rsid w:val="00B64398"/>
    <w:rsid w:val="00B64484"/>
    <w:rsid w:val="00B645EE"/>
    <w:rsid w:val="00B645F8"/>
    <w:rsid w:val="00B646A6"/>
    <w:rsid w:val="00B652B0"/>
    <w:rsid w:val="00B657B5"/>
    <w:rsid w:val="00B65A0E"/>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5D20"/>
    <w:rsid w:val="00B75D76"/>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0D2"/>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6"/>
    <w:rsid w:val="00B9660A"/>
    <w:rsid w:val="00B96ABF"/>
    <w:rsid w:val="00B96CBF"/>
    <w:rsid w:val="00B96CF0"/>
    <w:rsid w:val="00B96DA2"/>
    <w:rsid w:val="00B977E6"/>
    <w:rsid w:val="00B97B85"/>
    <w:rsid w:val="00BA067F"/>
    <w:rsid w:val="00BA112E"/>
    <w:rsid w:val="00BA13E0"/>
    <w:rsid w:val="00BA17C4"/>
    <w:rsid w:val="00BA1C20"/>
    <w:rsid w:val="00BA270E"/>
    <w:rsid w:val="00BA2729"/>
    <w:rsid w:val="00BA2734"/>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A52"/>
    <w:rsid w:val="00BB1B24"/>
    <w:rsid w:val="00BB1C4F"/>
    <w:rsid w:val="00BB1D50"/>
    <w:rsid w:val="00BB225D"/>
    <w:rsid w:val="00BB3355"/>
    <w:rsid w:val="00BB365A"/>
    <w:rsid w:val="00BB3D5C"/>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8CC"/>
    <w:rsid w:val="00BC5CE2"/>
    <w:rsid w:val="00BC70D5"/>
    <w:rsid w:val="00BC71C5"/>
    <w:rsid w:val="00BC7659"/>
    <w:rsid w:val="00BC77C9"/>
    <w:rsid w:val="00BC7A42"/>
    <w:rsid w:val="00BC7CB9"/>
    <w:rsid w:val="00BD013E"/>
    <w:rsid w:val="00BD082C"/>
    <w:rsid w:val="00BD08BD"/>
    <w:rsid w:val="00BD0FC4"/>
    <w:rsid w:val="00BD10F3"/>
    <w:rsid w:val="00BD140B"/>
    <w:rsid w:val="00BD238C"/>
    <w:rsid w:val="00BD2A08"/>
    <w:rsid w:val="00BD2F55"/>
    <w:rsid w:val="00BD317C"/>
    <w:rsid w:val="00BD32B0"/>
    <w:rsid w:val="00BD3837"/>
    <w:rsid w:val="00BD386B"/>
    <w:rsid w:val="00BD3C69"/>
    <w:rsid w:val="00BD3D7A"/>
    <w:rsid w:val="00BD5A26"/>
    <w:rsid w:val="00BD5FA4"/>
    <w:rsid w:val="00BD63BA"/>
    <w:rsid w:val="00BD6509"/>
    <w:rsid w:val="00BD689C"/>
    <w:rsid w:val="00BD6A22"/>
    <w:rsid w:val="00BD7A82"/>
    <w:rsid w:val="00BD7F9E"/>
    <w:rsid w:val="00BE0366"/>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ABA"/>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68F"/>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478"/>
    <w:rsid w:val="00C232DD"/>
    <w:rsid w:val="00C2423A"/>
    <w:rsid w:val="00C24CA2"/>
    <w:rsid w:val="00C24EE5"/>
    <w:rsid w:val="00C24F74"/>
    <w:rsid w:val="00C250CF"/>
    <w:rsid w:val="00C2544D"/>
    <w:rsid w:val="00C25D3A"/>
    <w:rsid w:val="00C263AE"/>
    <w:rsid w:val="00C26871"/>
    <w:rsid w:val="00C2695A"/>
    <w:rsid w:val="00C274BE"/>
    <w:rsid w:val="00C2753B"/>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97"/>
    <w:rsid w:val="00C34C05"/>
    <w:rsid w:val="00C350C8"/>
    <w:rsid w:val="00C3566B"/>
    <w:rsid w:val="00C35A42"/>
    <w:rsid w:val="00C35B23"/>
    <w:rsid w:val="00C35D4F"/>
    <w:rsid w:val="00C361CD"/>
    <w:rsid w:val="00C36DAD"/>
    <w:rsid w:val="00C37050"/>
    <w:rsid w:val="00C37493"/>
    <w:rsid w:val="00C37F07"/>
    <w:rsid w:val="00C37F85"/>
    <w:rsid w:val="00C37F8D"/>
    <w:rsid w:val="00C4018E"/>
    <w:rsid w:val="00C402D7"/>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273"/>
    <w:rsid w:val="00C47AE8"/>
    <w:rsid w:val="00C47BDC"/>
    <w:rsid w:val="00C50337"/>
    <w:rsid w:val="00C508B7"/>
    <w:rsid w:val="00C51D11"/>
    <w:rsid w:val="00C5257E"/>
    <w:rsid w:val="00C531B4"/>
    <w:rsid w:val="00C532F9"/>
    <w:rsid w:val="00C53E22"/>
    <w:rsid w:val="00C54C62"/>
    <w:rsid w:val="00C55ADC"/>
    <w:rsid w:val="00C5638E"/>
    <w:rsid w:val="00C56918"/>
    <w:rsid w:val="00C569CA"/>
    <w:rsid w:val="00C5707E"/>
    <w:rsid w:val="00C575AE"/>
    <w:rsid w:val="00C57CC6"/>
    <w:rsid w:val="00C601EB"/>
    <w:rsid w:val="00C60EC1"/>
    <w:rsid w:val="00C62027"/>
    <w:rsid w:val="00C62163"/>
    <w:rsid w:val="00C62997"/>
    <w:rsid w:val="00C62A8E"/>
    <w:rsid w:val="00C62BE7"/>
    <w:rsid w:val="00C62C31"/>
    <w:rsid w:val="00C633AB"/>
    <w:rsid w:val="00C633BD"/>
    <w:rsid w:val="00C6343A"/>
    <w:rsid w:val="00C6436F"/>
    <w:rsid w:val="00C64376"/>
    <w:rsid w:val="00C64626"/>
    <w:rsid w:val="00C64849"/>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A8"/>
    <w:rsid w:val="00C7357D"/>
    <w:rsid w:val="00C740FD"/>
    <w:rsid w:val="00C74157"/>
    <w:rsid w:val="00C7448E"/>
    <w:rsid w:val="00C748E2"/>
    <w:rsid w:val="00C75004"/>
    <w:rsid w:val="00C7552E"/>
    <w:rsid w:val="00C755E8"/>
    <w:rsid w:val="00C75970"/>
    <w:rsid w:val="00C75AC4"/>
    <w:rsid w:val="00C75B22"/>
    <w:rsid w:val="00C75C9D"/>
    <w:rsid w:val="00C76A56"/>
    <w:rsid w:val="00C76A6B"/>
    <w:rsid w:val="00C76FD3"/>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5CE"/>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0E3"/>
    <w:rsid w:val="00CD01E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48C"/>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9A0"/>
    <w:rsid w:val="00CE1E7A"/>
    <w:rsid w:val="00CE212D"/>
    <w:rsid w:val="00CE253D"/>
    <w:rsid w:val="00CE2561"/>
    <w:rsid w:val="00CE3257"/>
    <w:rsid w:val="00CE5E50"/>
    <w:rsid w:val="00CE697C"/>
    <w:rsid w:val="00CE69F3"/>
    <w:rsid w:val="00CE6AD5"/>
    <w:rsid w:val="00CE6E24"/>
    <w:rsid w:val="00CE76BD"/>
    <w:rsid w:val="00CE79BC"/>
    <w:rsid w:val="00CE7BFF"/>
    <w:rsid w:val="00CF02AC"/>
    <w:rsid w:val="00CF0410"/>
    <w:rsid w:val="00CF057C"/>
    <w:rsid w:val="00CF0698"/>
    <w:rsid w:val="00CF06E6"/>
    <w:rsid w:val="00CF18AB"/>
    <w:rsid w:val="00CF1AA6"/>
    <w:rsid w:val="00CF20C8"/>
    <w:rsid w:val="00CF233B"/>
    <w:rsid w:val="00CF23D5"/>
    <w:rsid w:val="00CF2639"/>
    <w:rsid w:val="00CF277A"/>
    <w:rsid w:val="00CF2FBF"/>
    <w:rsid w:val="00CF33BA"/>
    <w:rsid w:val="00CF3F01"/>
    <w:rsid w:val="00CF4694"/>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29"/>
    <w:rsid w:val="00D02369"/>
    <w:rsid w:val="00D02C36"/>
    <w:rsid w:val="00D02E17"/>
    <w:rsid w:val="00D04FC8"/>
    <w:rsid w:val="00D05393"/>
    <w:rsid w:val="00D0569C"/>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933"/>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00C"/>
    <w:rsid w:val="00D23272"/>
    <w:rsid w:val="00D23387"/>
    <w:rsid w:val="00D23556"/>
    <w:rsid w:val="00D2390D"/>
    <w:rsid w:val="00D23B89"/>
    <w:rsid w:val="00D23CE2"/>
    <w:rsid w:val="00D23EAA"/>
    <w:rsid w:val="00D2588C"/>
    <w:rsid w:val="00D261FB"/>
    <w:rsid w:val="00D26283"/>
    <w:rsid w:val="00D263B5"/>
    <w:rsid w:val="00D26586"/>
    <w:rsid w:val="00D26DBE"/>
    <w:rsid w:val="00D27F01"/>
    <w:rsid w:val="00D306A9"/>
    <w:rsid w:val="00D30924"/>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6D53"/>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29B"/>
    <w:rsid w:val="00D5044A"/>
    <w:rsid w:val="00D50F95"/>
    <w:rsid w:val="00D5102A"/>
    <w:rsid w:val="00D513F0"/>
    <w:rsid w:val="00D51565"/>
    <w:rsid w:val="00D51AAF"/>
    <w:rsid w:val="00D51F84"/>
    <w:rsid w:val="00D52200"/>
    <w:rsid w:val="00D5276C"/>
    <w:rsid w:val="00D5294C"/>
    <w:rsid w:val="00D52D0B"/>
    <w:rsid w:val="00D53768"/>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86F"/>
    <w:rsid w:val="00D62243"/>
    <w:rsid w:val="00D6278F"/>
    <w:rsid w:val="00D62949"/>
    <w:rsid w:val="00D62BD6"/>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563"/>
    <w:rsid w:val="00D66DAA"/>
    <w:rsid w:val="00D7010A"/>
    <w:rsid w:val="00D7040B"/>
    <w:rsid w:val="00D70B22"/>
    <w:rsid w:val="00D70D67"/>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5E8A"/>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0A1"/>
    <w:rsid w:val="00D83401"/>
    <w:rsid w:val="00D84268"/>
    <w:rsid w:val="00D846C5"/>
    <w:rsid w:val="00D85FDB"/>
    <w:rsid w:val="00D86746"/>
    <w:rsid w:val="00D8692B"/>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286"/>
    <w:rsid w:val="00DA0338"/>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64F3"/>
    <w:rsid w:val="00DA714A"/>
    <w:rsid w:val="00DA71AF"/>
    <w:rsid w:val="00DA727D"/>
    <w:rsid w:val="00DA7A85"/>
    <w:rsid w:val="00DA7BC7"/>
    <w:rsid w:val="00DA7E4C"/>
    <w:rsid w:val="00DB0487"/>
    <w:rsid w:val="00DB0564"/>
    <w:rsid w:val="00DB1539"/>
    <w:rsid w:val="00DB1F98"/>
    <w:rsid w:val="00DB2551"/>
    <w:rsid w:val="00DB2D7F"/>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06"/>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963"/>
    <w:rsid w:val="00DE21CF"/>
    <w:rsid w:val="00DE279F"/>
    <w:rsid w:val="00DE2D4B"/>
    <w:rsid w:val="00DE3083"/>
    <w:rsid w:val="00DE31FE"/>
    <w:rsid w:val="00DE3E7C"/>
    <w:rsid w:val="00DE464E"/>
    <w:rsid w:val="00DE4664"/>
    <w:rsid w:val="00DE47CE"/>
    <w:rsid w:val="00DE480D"/>
    <w:rsid w:val="00DE4B0C"/>
    <w:rsid w:val="00DE4D74"/>
    <w:rsid w:val="00DE516B"/>
    <w:rsid w:val="00DE581C"/>
    <w:rsid w:val="00DE61AA"/>
    <w:rsid w:val="00DE7012"/>
    <w:rsid w:val="00DE7D03"/>
    <w:rsid w:val="00DF02EC"/>
    <w:rsid w:val="00DF0D33"/>
    <w:rsid w:val="00DF0E63"/>
    <w:rsid w:val="00DF1300"/>
    <w:rsid w:val="00DF1ADA"/>
    <w:rsid w:val="00DF1DE2"/>
    <w:rsid w:val="00DF1FD6"/>
    <w:rsid w:val="00DF2DDB"/>
    <w:rsid w:val="00DF2DFE"/>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43F1"/>
    <w:rsid w:val="00E145E0"/>
    <w:rsid w:val="00E14640"/>
    <w:rsid w:val="00E14913"/>
    <w:rsid w:val="00E150B1"/>
    <w:rsid w:val="00E15352"/>
    <w:rsid w:val="00E154A1"/>
    <w:rsid w:val="00E1626E"/>
    <w:rsid w:val="00E164E8"/>
    <w:rsid w:val="00E1654E"/>
    <w:rsid w:val="00E167D4"/>
    <w:rsid w:val="00E17572"/>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464"/>
    <w:rsid w:val="00E30517"/>
    <w:rsid w:val="00E3070A"/>
    <w:rsid w:val="00E30A72"/>
    <w:rsid w:val="00E31371"/>
    <w:rsid w:val="00E31506"/>
    <w:rsid w:val="00E327EE"/>
    <w:rsid w:val="00E32E0E"/>
    <w:rsid w:val="00E33802"/>
    <w:rsid w:val="00E33814"/>
    <w:rsid w:val="00E339C6"/>
    <w:rsid w:val="00E33BB9"/>
    <w:rsid w:val="00E33E4D"/>
    <w:rsid w:val="00E3457A"/>
    <w:rsid w:val="00E34870"/>
    <w:rsid w:val="00E34F08"/>
    <w:rsid w:val="00E35187"/>
    <w:rsid w:val="00E35E22"/>
    <w:rsid w:val="00E35F47"/>
    <w:rsid w:val="00E362BC"/>
    <w:rsid w:val="00E369C5"/>
    <w:rsid w:val="00E377BF"/>
    <w:rsid w:val="00E37C25"/>
    <w:rsid w:val="00E40362"/>
    <w:rsid w:val="00E40DAE"/>
    <w:rsid w:val="00E41A3E"/>
    <w:rsid w:val="00E41D2F"/>
    <w:rsid w:val="00E42FF3"/>
    <w:rsid w:val="00E43066"/>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D1B"/>
    <w:rsid w:val="00E51E23"/>
    <w:rsid w:val="00E52CCE"/>
    <w:rsid w:val="00E52F76"/>
    <w:rsid w:val="00E5315C"/>
    <w:rsid w:val="00E538E0"/>
    <w:rsid w:val="00E54D33"/>
    <w:rsid w:val="00E55696"/>
    <w:rsid w:val="00E5711F"/>
    <w:rsid w:val="00E5765B"/>
    <w:rsid w:val="00E6000E"/>
    <w:rsid w:val="00E602C9"/>
    <w:rsid w:val="00E602F9"/>
    <w:rsid w:val="00E608B7"/>
    <w:rsid w:val="00E60F80"/>
    <w:rsid w:val="00E60F8A"/>
    <w:rsid w:val="00E61DAC"/>
    <w:rsid w:val="00E624DA"/>
    <w:rsid w:val="00E629F9"/>
    <w:rsid w:val="00E62AF2"/>
    <w:rsid w:val="00E630F7"/>
    <w:rsid w:val="00E63EB6"/>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6D8"/>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449"/>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31D"/>
    <w:rsid w:val="00EA475F"/>
    <w:rsid w:val="00EA4877"/>
    <w:rsid w:val="00EA4AC2"/>
    <w:rsid w:val="00EA5029"/>
    <w:rsid w:val="00EA5335"/>
    <w:rsid w:val="00EA6506"/>
    <w:rsid w:val="00EA69EC"/>
    <w:rsid w:val="00EA708C"/>
    <w:rsid w:val="00EA70EA"/>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9C6"/>
    <w:rsid w:val="00EB3CE0"/>
    <w:rsid w:val="00EB3DB0"/>
    <w:rsid w:val="00EB410B"/>
    <w:rsid w:val="00EB42C8"/>
    <w:rsid w:val="00EB4A13"/>
    <w:rsid w:val="00EB4FB7"/>
    <w:rsid w:val="00EB534C"/>
    <w:rsid w:val="00EB55D2"/>
    <w:rsid w:val="00EB57E7"/>
    <w:rsid w:val="00EB5CC3"/>
    <w:rsid w:val="00EB6440"/>
    <w:rsid w:val="00EB6698"/>
    <w:rsid w:val="00EB6C27"/>
    <w:rsid w:val="00EB6C53"/>
    <w:rsid w:val="00EB7832"/>
    <w:rsid w:val="00EB7B45"/>
    <w:rsid w:val="00EB7C50"/>
    <w:rsid w:val="00EB7E4D"/>
    <w:rsid w:val="00EB7FE8"/>
    <w:rsid w:val="00EC059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6DF3"/>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D5F48"/>
    <w:rsid w:val="00ED681C"/>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076"/>
    <w:rsid w:val="00EE4BF1"/>
    <w:rsid w:val="00EE5112"/>
    <w:rsid w:val="00EE6072"/>
    <w:rsid w:val="00EE62B4"/>
    <w:rsid w:val="00EE636D"/>
    <w:rsid w:val="00EE65C3"/>
    <w:rsid w:val="00EE66B1"/>
    <w:rsid w:val="00EE724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276"/>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310"/>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095"/>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139D"/>
    <w:rsid w:val="00F42518"/>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8C8"/>
    <w:rsid w:val="00F52A47"/>
    <w:rsid w:val="00F52A4B"/>
    <w:rsid w:val="00F52C6C"/>
    <w:rsid w:val="00F52FA8"/>
    <w:rsid w:val="00F538CD"/>
    <w:rsid w:val="00F54192"/>
    <w:rsid w:val="00F542D8"/>
    <w:rsid w:val="00F546A9"/>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257C"/>
    <w:rsid w:val="00F63289"/>
    <w:rsid w:val="00F6404E"/>
    <w:rsid w:val="00F6433C"/>
    <w:rsid w:val="00F6474A"/>
    <w:rsid w:val="00F64966"/>
    <w:rsid w:val="00F64F9F"/>
    <w:rsid w:val="00F65931"/>
    <w:rsid w:val="00F660B8"/>
    <w:rsid w:val="00F669E3"/>
    <w:rsid w:val="00F67A85"/>
    <w:rsid w:val="00F67FE7"/>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CB5"/>
    <w:rsid w:val="00F91DAC"/>
    <w:rsid w:val="00F92174"/>
    <w:rsid w:val="00F923DB"/>
    <w:rsid w:val="00F92725"/>
    <w:rsid w:val="00F938F4"/>
    <w:rsid w:val="00F93A3D"/>
    <w:rsid w:val="00F93A77"/>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435"/>
    <w:rsid w:val="00FB2864"/>
    <w:rsid w:val="00FB2C27"/>
    <w:rsid w:val="00FB2F94"/>
    <w:rsid w:val="00FB3CD6"/>
    <w:rsid w:val="00FB4065"/>
    <w:rsid w:val="00FB42B9"/>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503"/>
    <w:rsid w:val="00FC2742"/>
    <w:rsid w:val="00FC330F"/>
    <w:rsid w:val="00FC37F0"/>
    <w:rsid w:val="00FC3BBC"/>
    <w:rsid w:val="00FC3EEB"/>
    <w:rsid w:val="00FC4278"/>
    <w:rsid w:val="00FC4423"/>
    <w:rsid w:val="00FC47D1"/>
    <w:rsid w:val="00FC48F6"/>
    <w:rsid w:val="00FC4CA4"/>
    <w:rsid w:val="00FC545C"/>
    <w:rsid w:val="00FC553E"/>
    <w:rsid w:val="00FC65A0"/>
    <w:rsid w:val="00FC6B41"/>
    <w:rsid w:val="00FC7308"/>
    <w:rsid w:val="00FC7F84"/>
    <w:rsid w:val="00FC7F93"/>
    <w:rsid w:val="00FD07CD"/>
    <w:rsid w:val="00FD10D2"/>
    <w:rsid w:val="00FD111E"/>
    <w:rsid w:val="00FD14E4"/>
    <w:rsid w:val="00FD2238"/>
    <w:rsid w:val="00FD2804"/>
    <w:rsid w:val="00FD282A"/>
    <w:rsid w:val="00FD2A71"/>
    <w:rsid w:val="00FD3905"/>
    <w:rsid w:val="00FD4620"/>
    <w:rsid w:val="00FD48C9"/>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2F14"/>
    <w:rsid w:val="00FF37C5"/>
    <w:rsid w:val="00FF3A12"/>
    <w:rsid w:val="00FF3CFC"/>
    <w:rsid w:val="00FF3F86"/>
    <w:rsid w:val="00FF43AF"/>
    <w:rsid w:val="00FF48E0"/>
    <w:rsid w:val="00FF4C1A"/>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9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EA69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EA69EC"/>
    <w:pPr>
      <w:pBdr>
        <w:top w:val="none" w:sz="0" w:space="0" w:color="auto"/>
      </w:pBdr>
      <w:spacing w:before="180"/>
      <w:outlineLvl w:val="1"/>
    </w:pPr>
    <w:rPr>
      <w:sz w:val="32"/>
    </w:rPr>
  </w:style>
  <w:style w:type="paragraph" w:styleId="Heading3">
    <w:name w:val="heading 3"/>
    <w:basedOn w:val="Heading2"/>
    <w:next w:val="Normal"/>
    <w:link w:val="Heading3Char"/>
    <w:qFormat/>
    <w:rsid w:val="00EA69EC"/>
    <w:pPr>
      <w:spacing w:before="120"/>
      <w:outlineLvl w:val="2"/>
    </w:pPr>
    <w:rPr>
      <w:sz w:val="28"/>
    </w:rPr>
  </w:style>
  <w:style w:type="paragraph" w:styleId="Heading4">
    <w:name w:val="heading 4"/>
    <w:aliases w:val="h4"/>
    <w:basedOn w:val="Heading3"/>
    <w:next w:val="Normal"/>
    <w:link w:val="Heading4Char"/>
    <w:qFormat/>
    <w:rsid w:val="00EA69EC"/>
    <w:pPr>
      <w:ind w:left="1418" w:hanging="1418"/>
      <w:outlineLvl w:val="3"/>
    </w:pPr>
    <w:rPr>
      <w:sz w:val="24"/>
    </w:rPr>
  </w:style>
  <w:style w:type="paragraph" w:styleId="Heading5">
    <w:name w:val="heading 5"/>
    <w:basedOn w:val="Heading4"/>
    <w:next w:val="Normal"/>
    <w:link w:val="Heading5Char"/>
    <w:qFormat/>
    <w:rsid w:val="00EA69EC"/>
    <w:pPr>
      <w:ind w:left="1701" w:hanging="1701"/>
      <w:outlineLvl w:val="4"/>
    </w:pPr>
    <w:rPr>
      <w:sz w:val="22"/>
    </w:rPr>
  </w:style>
  <w:style w:type="paragraph" w:styleId="Heading6">
    <w:name w:val="heading 6"/>
    <w:basedOn w:val="H6"/>
    <w:next w:val="Normal"/>
    <w:qFormat/>
    <w:rsid w:val="00EA69EC"/>
    <w:pPr>
      <w:outlineLvl w:val="5"/>
    </w:pPr>
  </w:style>
  <w:style w:type="paragraph" w:styleId="Heading7">
    <w:name w:val="heading 7"/>
    <w:basedOn w:val="H6"/>
    <w:next w:val="Normal"/>
    <w:qFormat/>
    <w:rsid w:val="00EA69EC"/>
    <w:pPr>
      <w:outlineLvl w:val="6"/>
    </w:pPr>
  </w:style>
  <w:style w:type="paragraph" w:styleId="Heading8">
    <w:name w:val="heading 8"/>
    <w:basedOn w:val="Heading1"/>
    <w:next w:val="Normal"/>
    <w:qFormat/>
    <w:rsid w:val="00EA69EC"/>
    <w:pPr>
      <w:ind w:left="0" w:firstLine="0"/>
      <w:outlineLvl w:val="7"/>
    </w:pPr>
  </w:style>
  <w:style w:type="paragraph" w:styleId="Heading9">
    <w:name w:val="heading 9"/>
    <w:basedOn w:val="Heading8"/>
    <w:next w:val="Normal"/>
    <w:qFormat/>
    <w:rsid w:val="00EA69EC"/>
    <w:pPr>
      <w:outlineLvl w:val="8"/>
    </w:pPr>
  </w:style>
  <w:style w:type="character" w:default="1" w:styleId="DefaultParagraphFont">
    <w:name w:val="Default Paragraph Font"/>
    <w:uiPriority w:val="1"/>
    <w:semiHidden/>
    <w:unhideWhenUsed/>
    <w:rsid w:val="00EA69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69EC"/>
  </w:style>
  <w:style w:type="paragraph" w:styleId="TOC8">
    <w:name w:val="toc 8"/>
    <w:basedOn w:val="TOC1"/>
    <w:semiHidden/>
    <w:rsid w:val="00EA69EC"/>
    <w:pPr>
      <w:spacing w:before="180"/>
      <w:ind w:left="2693" w:hanging="2693"/>
    </w:pPr>
    <w:rPr>
      <w:b/>
    </w:rPr>
  </w:style>
  <w:style w:type="paragraph" w:styleId="TOC1">
    <w:name w:val="toc 1"/>
    <w:semiHidden/>
    <w:rsid w:val="00EA69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A69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A69EC"/>
    <w:pPr>
      <w:ind w:left="1701" w:hanging="1701"/>
    </w:pPr>
  </w:style>
  <w:style w:type="paragraph" w:styleId="TOC4">
    <w:name w:val="toc 4"/>
    <w:basedOn w:val="TOC3"/>
    <w:semiHidden/>
    <w:rsid w:val="00EA69EC"/>
    <w:pPr>
      <w:ind w:left="1418" w:hanging="1418"/>
    </w:pPr>
  </w:style>
  <w:style w:type="paragraph" w:styleId="TOC3">
    <w:name w:val="toc 3"/>
    <w:basedOn w:val="TOC2"/>
    <w:semiHidden/>
    <w:rsid w:val="00EA69EC"/>
    <w:pPr>
      <w:ind w:left="1134" w:hanging="1134"/>
    </w:pPr>
  </w:style>
  <w:style w:type="paragraph" w:styleId="TOC2">
    <w:name w:val="toc 2"/>
    <w:basedOn w:val="TOC1"/>
    <w:semiHidden/>
    <w:rsid w:val="00EA69EC"/>
    <w:pPr>
      <w:keepNext w:val="0"/>
      <w:spacing w:before="0"/>
      <w:ind w:left="851" w:hanging="851"/>
    </w:pPr>
    <w:rPr>
      <w:sz w:val="20"/>
    </w:rPr>
  </w:style>
  <w:style w:type="paragraph" w:styleId="Index2">
    <w:name w:val="index 2"/>
    <w:basedOn w:val="Index1"/>
    <w:semiHidden/>
    <w:rsid w:val="00EA69EC"/>
    <w:pPr>
      <w:ind w:left="284"/>
    </w:pPr>
  </w:style>
  <w:style w:type="paragraph" w:styleId="Index1">
    <w:name w:val="index 1"/>
    <w:basedOn w:val="Normal"/>
    <w:semiHidden/>
    <w:rsid w:val="00EA69EC"/>
    <w:pPr>
      <w:keepLines/>
      <w:spacing w:after="0"/>
    </w:pPr>
  </w:style>
  <w:style w:type="paragraph" w:customStyle="1" w:styleId="ZH">
    <w:name w:val="ZH"/>
    <w:rsid w:val="00EA69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A69EC"/>
    <w:pPr>
      <w:outlineLvl w:val="9"/>
    </w:pPr>
  </w:style>
  <w:style w:type="paragraph" w:styleId="ListNumber2">
    <w:name w:val="List Number 2"/>
    <w:basedOn w:val="ListNumber"/>
    <w:rsid w:val="00EA69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EA69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A69EC"/>
    <w:rPr>
      <w:b/>
      <w:position w:val="6"/>
      <w:sz w:val="16"/>
    </w:rPr>
  </w:style>
  <w:style w:type="paragraph" w:styleId="FootnoteText">
    <w:name w:val="footnote text"/>
    <w:basedOn w:val="Normal"/>
    <w:semiHidden/>
    <w:rsid w:val="00EA69EC"/>
    <w:pPr>
      <w:keepLines/>
      <w:spacing w:after="0"/>
      <w:ind w:left="454" w:hanging="454"/>
    </w:pPr>
    <w:rPr>
      <w:sz w:val="16"/>
    </w:rPr>
  </w:style>
  <w:style w:type="paragraph" w:customStyle="1" w:styleId="TAH">
    <w:name w:val="TAH"/>
    <w:basedOn w:val="TAC"/>
    <w:rsid w:val="00EA69EC"/>
    <w:rPr>
      <w:b/>
    </w:rPr>
  </w:style>
  <w:style w:type="paragraph" w:customStyle="1" w:styleId="TAC">
    <w:name w:val="TAC"/>
    <w:basedOn w:val="TAL"/>
    <w:rsid w:val="00EA69EC"/>
    <w:pPr>
      <w:jc w:val="center"/>
    </w:pPr>
  </w:style>
  <w:style w:type="paragraph" w:customStyle="1" w:styleId="TF">
    <w:name w:val="TF"/>
    <w:basedOn w:val="TH"/>
    <w:rsid w:val="00EA69EC"/>
    <w:pPr>
      <w:keepNext w:val="0"/>
      <w:spacing w:before="0" w:after="240"/>
    </w:pPr>
  </w:style>
  <w:style w:type="paragraph" w:customStyle="1" w:styleId="NO">
    <w:name w:val="NO"/>
    <w:basedOn w:val="Normal"/>
    <w:rsid w:val="00EA69EC"/>
    <w:pPr>
      <w:keepLines/>
      <w:ind w:left="1135" w:hanging="851"/>
    </w:pPr>
  </w:style>
  <w:style w:type="paragraph" w:styleId="TOC9">
    <w:name w:val="toc 9"/>
    <w:basedOn w:val="TOC8"/>
    <w:semiHidden/>
    <w:rsid w:val="00EA69EC"/>
    <w:pPr>
      <w:ind w:left="1418" w:hanging="1418"/>
    </w:pPr>
  </w:style>
  <w:style w:type="paragraph" w:customStyle="1" w:styleId="EX">
    <w:name w:val="EX"/>
    <w:basedOn w:val="Normal"/>
    <w:rsid w:val="00EA69EC"/>
    <w:pPr>
      <w:keepLines/>
      <w:ind w:left="1702" w:hanging="1418"/>
    </w:pPr>
  </w:style>
  <w:style w:type="paragraph" w:customStyle="1" w:styleId="FP">
    <w:name w:val="FP"/>
    <w:basedOn w:val="Normal"/>
    <w:rsid w:val="00EA69EC"/>
    <w:pPr>
      <w:spacing w:after="0"/>
    </w:pPr>
  </w:style>
  <w:style w:type="paragraph" w:customStyle="1" w:styleId="LD">
    <w:name w:val="LD"/>
    <w:rsid w:val="00EA69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A69EC"/>
    <w:pPr>
      <w:spacing w:after="0"/>
    </w:pPr>
  </w:style>
  <w:style w:type="paragraph" w:customStyle="1" w:styleId="EW">
    <w:name w:val="EW"/>
    <w:basedOn w:val="EX"/>
    <w:rsid w:val="00EA69EC"/>
    <w:pPr>
      <w:spacing w:after="0"/>
    </w:pPr>
  </w:style>
  <w:style w:type="paragraph" w:styleId="TOC6">
    <w:name w:val="toc 6"/>
    <w:basedOn w:val="TOC5"/>
    <w:next w:val="Normal"/>
    <w:semiHidden/>
    <w:rsid w:val="00EA69EC"/>
    <w:pPr>
      <w:ind w:left="1985" w:hanging="1985"/>
    </w:pPr>
  </w:style>
  <w:style w:type="paragraph" w:styleId="TOC7">
    <w:name w:val="toc 7"/>
    <w:basedOn w:val="TOC6"/>
    <w:next w:val="Normal"/>
    <w:semiHidden/>
    <w:rsid w:val="00EA69EC"/>
    <w:pPr>
      <w:ind w:left="2268" w:hanging="2268"/>
    </w:pPr>
  </w:style>
  <w:style w:type="paragraph" w:styleId="ListBullet2">
    <w:name w:val="List Bullet 2"/>
    <w:basedOn w:val="ListBullet"/>
    <w:rsid w:val="00EA69EC"/>
    <w:pPr>
      <w:ind w:left="851"/>
    </w:pPr>
  </w:style>
  <w:style w:type="paragraph" w:styleId="ListBullet3">
    <w:name w:val="List Bullet 3"/>
    <w:basedOn w:val="ListBullet2"/>
    <w:rsid w:val="00EA69EC"/>
    <w:pPr>
      <w:ind w:left="1135"/>
    </w:pPr>
  </w:style>
  <w:style w:type="paragraph" w:styleId="ListNumber">
    <w:name w:val="List Number"/>
    <w:basedOn w:val="List"/>
    <w:rsid w:val="00EA69EC"/>
  </w:style>
  <w:style w:type="paragraph" w:customStyle="1" w:styleId="EQ">
    <w:name w:val="EQ"/>
    <w:basedOn w:val="Normal"/>
    <w:next w:val="Normal"/>
    <w:rsid w:val="00EA69EC"/>
    <w:pPr>
      <w:keepLines/>
      <w:tabs>
        <w:tab w:val="center" w:pos="4536"/>
        <w:tab w:val="right" w:pos="9072"/>
      </w:tabs>
    </w:pPr>
    <w:rPr>
      <w:noProof/>
    </w:rPr>
  </w:style>
  <w:style w:type="paragraph" w:customStyle="1" w:styleId="TH">
    <w:name w:val="TH"/>
    <w:basedOn w:val="Normal"/>
    <w:link w:val="THChar"/>
    <w:rsid w:val="00EA69EC"/>
    <w:pPr>
      <w:keepNext/>
      <w:keepLines/>
      <w:spacing w:before="60"/>
      <w:jc w:val="center"/>
    </w:pPr>
    <w:rPr>
      <w:rFonts w:ascii="Arial" w:hAnsi="Arial"/>
      <w:b/>
    </w:rPr>
  </w:style>
  <w:style w:type="paragraph" w:customStyle="1" w:styleId="NF">
    <w:name w:val="NF"/>
    <w:basedOn w:val="NO"/>
    <w:rsid w:val="00EA69EC"/>
    <w:pPr>
      <w:keepNext/>
      <w:spacing w:after="0"/>
    </w:pPr>
    <w:rPr>
      <w:rFonts w:ascii="Arial" w:hAnsi="Arial"/>
      <w:sz w:val="18"/>
    </w:rPr>
  </w:style>
  <w:style w:type="paragraph" w:customStyle="1" w:styleId="PL">
    <w:name w:val="PL"/>
    <w:rsid w:val="00EA6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A69EC"/>
    <w:pPr>
      <w:jc w:val="right"/>
    </w:pPr>
  </w:style>
  <w:style w:type="paragraph" w:customStyle="1" w:styleId="H6">
    <w:name w:val="H6"/>
    <w:basedOn w:val="Heading5"/>
    <w:next w:val="Normal"/>
    <w:rsid w:val="00EA69EC"/>
    <w:pPr>
      <w:ind w:left="1985" w:hanging="1985"/>
      <w:outlineLvl w:val="9"/>
    </w:pPr>
    <w:rPr>
      <w:sz w:val="20"/>
    </w:rPr>
  </w:style>
  <w:style w:type="paragraph" w:customStyle="1" w:styleId="TAN">
    <w:name w:val="TAN"/>
    <w:basedOn w:val="TAL"/>
    <w:rsid w:val="00EA69EC"/>
    <w:pPr>
      <w:ind w:left="851" w:hanging="851"/>
    </w:pPr>
  </w:style>
  <w:style w:type="paragraph" w:customStyle="1" w:styleId="TAL">
    <w:name w:val="TAL"/>
    <w:basedOn w:val="Normal"/>
    <w:rsid w:val="00EA69EC"/>
    <w:pPr>
      <w:keepNext/>
      <w:keepLines/>
      <w:spacing w:after="0"/>
    </w:pPr>
    <w:rPr>
      <w:rFonts w:ascii="Arial" w:hAnsi="Arial"/>
      <w:sz w:val="18"/>
    </w:rPr>
  </w:style>
  <w:style w:type="paragraph" w:customStyle="1" w:styleId="ZA">
    <w:name w:val="ZA"/>
    <w:rsid w:val="00EA69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A69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A69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A69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A69EC"/>
    <w:pPr>
      <w:framePr w:wrap="notBeside" w:y="16161"/>
    </w:pPr>
  </w:style>
  <w:style w:type="character" w:customStyle="1" w:styleId="ZGSM">
    <w:name w:val="ZGSM"/>
    <w:rsid w:val="00EA69EC"/>
  </w:style>
  <w:style w:type="paragraph" w:styleId="List2">
    <w:name w:val="List 2"/>
    <w:basedOn w:val="List"/>
    <w:rsid w:val="00EA69EC"/>
    <w:pPr>
      <w:ind w:left="851"/>
    </w:pPr>
  </w:style>
  <w:style w:type="paragraph" w:customStyle="1" w:styleId="ZG">
    <w:name w:val="ZG"/>
    <w:rsid w:val="00EA69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A69EC"/>
    <w:pPr>
      <w:ind w:left="1135"/>
    </w:pPr>
  </w:style>
  <w:style w:type="paragraph" w:styleId="List4">
    <w:name w:val="List 4"/>
    <w:basedOn w:val="List3"/>
    <w:rsid w:val="00EA69EC"/>
    <w:pPr>
      <w:ind w:left="1418"/>
    </w:pPr>
  </w:style>
  <w:style w:type="paragraph" w:styleId="List5">
    <w:name w:val="List 5"/>
    <w:basedOn w:val="List4"/>
    <w:rsid w:val="00EA69EC"/>
    <w:pPr>
      <w:ind w:left="1702"/>
    </w:pPr>
  </w:style>
  <w:style w:type="paragraph" w:customStyle="1" w:styleId="EditorsNote">
    <w:name w:val="Editor's Note"/>
    <w:basedOn w:val="NO"/>
    <w:rsid w:val="00EA69EC"/>
    <w:rPr>
      <w:color w:val="FF0000"/>
    </w:rPr>
  </w:style>
  <w:style w:type="paragraph" w:styleId="List">
    <w:name w:val="List"/>
    <w:basedOn w:val="Normal"/>
    <w:rsid w:val="00EA69EC"/>
    <w:pPr>
      <w:ind w:left="568" w:hanging="284"/>
    </w:pPr>
  </w:style>
  <w:style w:type="paragraph" w:styleId="ListBullet">
    <w:name w:val="List Bullet"/>
    <w:basedOn w:val="List"/>
    <w:rsid w:val="00EA69EC"/>
  </w:style>
  <w:style w:type="paragraph" w:styleId="ListBullet4">
    <w:name w:val="List Bullet 4"/>
    <w:basedOn w:val="ListBullet3"/>
    <w:rsid w:val="00EA69EC"/>
    <w:pPr>
      <w:ind w:left="1418"/>
    </w:pPr>
  </w:style>
  <w:style w:type="paragraph" w:styleId="ListBullet5">
    <w:name w:val="List Bullet 5"/>
    <w:basedOn w:val="ListBullet4"/>
    <w:rsid w:val="00EA69EC"/>
    <w:pPr>
      <w:ind w:left="1702"/>
    </w:pPr>
  </w:style>
  <w:style w:type="paragraph" w:customStyle="1" w:styleId="B1">
    <w:name w:val="B1"/>
    <w:basedOn w:val="List"/>
    <w:link w:val="B1Char1"/>
    <w:rsid w:val="00EA69EC"/>
  </w:style>
  <w:style w:type="paragraph" w:customStyle="1" w:styleId="B2">
    <w:name w:val="B2"/>
    <w:basedOn w:val="List2"/>
    <w:rsid w:val="00EA69EC"/>
  </w:style>
  <w:style w:type="paragraph" w:customStyle="1" w:styleId="B3">
    <w:name w:val="B3"/>
    <w:basedOn w:val="List3"/>
    <w:rsid w:val="00EA69EC"/>
  </w:style>
  <w:style w:type="paragraph" w:customStyle="1" w:styleId="B4">
    <w:name w:val="B4"/>
    <w:basedOn w:val="List4"/>
    <w:rsid w:val="00EA69EC"/>
  </w:style>
  <w:style w:type="paragraph" w:customStyle="1" w:styleId="B5">
    <w:name w:val="B5"/>
    <w:basedOn w:val="List5"/>
    <w:rsid w:val="00EA69EC"/>
  </w:style>
  <w:style w:type="paragraph" w:styleId="Footer">
    <w:name w:val="footer"/>
    <w:basedOn w:val="Header"/>
    <w:link w:val="FooterChar"/>
    <w:uiPriority w:val="99"/>
    <w:rsid w:val="00EA69EC"/>
    <w:pPr>
      <w:jc w:val="center"/>
    </w:pPr>
    <w:rPr>
      <w:i/>
    </w:rPr>
  </w:style>
  <w:style w:type="paragraph" w:customStyle="1" w:styleId="ZTD">
    <w:name w:val="ZTD"/>
    <w:basedOn w:val="ZB"/>
    <w:rsid w:val="00EA69EC"/>
    <w:pPr>
      <w:framePr w:hRule="auto" w:wrap="notBeside" w:y="852"/>
    </w:pPr>
    <w:rPr>
      <w:i w:val="0"/>
      <w:sz w:val="40"/>
    </w:rPr>
  </w:style>
  <w:style w:type="character" w:customStyle="1" w:styleId="MTEquationSection">
    <w:name w:val="MTEquationSection"/>
    <w:rsid w:val="00EA69EC"/>
    <w:rPr>
      <w:rFonts w:ascii="Arial" w:hAnsi="Arial"/>
      <w:vanish w:val="0"/>
      <w:color w:val="FF0000"/>
      <w:sz w:val="24"/>
    </w:rPr>
  </w:style>
  <w:style w:type="paragraph" w:styleId="BodyText3">
    <w:name w:val="Body Text 3"/>
    <w:basedOn w:val="Normal"/>
    <w:rsid w:val="00EA69EC"/>
    <w:rPr>
      <w:i/>
    </w:rPr>
  </w:style>
  <w:style w:type="paragraph" w:styleId="DocumentMap">
    <w:name w:val="Document Map"/>
    <w:basedOn w:val="Normal"/>
    <w:semiHidden/>
    <w:rsid w:val="00EA69EC"/>
    <w:pPr>
      <w:shd w:val="clear" w:color="auto" w:fill="000080"/>
    </w:pPr>
    <w:rPr>
      <w:rFonts w:ascii="Tahoma" w:hAnsi="Tahoma"/>
    </w:rPr>
  </w:style>
  <w:style w:type="paragraph" w:customStyle="1" w:styleId="Bulletedo1">
    <w:name w:val="Bulleted o 1"/>
    <w:basedOn w:val="Normal"/>
    <w:rsid w:val="00EA69EC"/>
    <w:pPr>
      <w:numPr>
        <w:numId w:val="1"/>
      </w:numPr>
    </w:pPr>
  </w:style>
  <w:style w:type="paragraph" w:customStyle="1" w:styleId="text">
    <w:name w:val="text"/>
    <w:basedOn w:val="Normal"/>
    <w:rsid w:val="00EA69EC"/>
    <w:pPr>
      <w:spacing w:after="240"/>
      <w:jc w:val="both"/>
    </w:pPr>
    <w:rPr>
      <w:sz w:val="24"/>
      <w:lang w:eastAsia="zh-CN"/>
    </w:rPr>
  </w:style>
  <w:style w:type="paragraph" w:customStyle="1" w:styleId="Equation">
    <w:name w:val="Equation"/>
    <w:basedOn w:val="Normal"/>
    <w:next w:val="Normal"/>
    <w:rsid w:val="00EA69EC"/>
    <w:pPr>
      <w:tabs>
        <w:tab w:val="right" w:pos="10206"/>
      </w:tabs>
      <w:spacing w:after="220"/>
      <w:ind w:left="1298"/>
    </w:pPr>
    <w:rPr>
      <w:rFonts w:ascii="Arial" w:hAnsi="Arial"/>
      <w:sz w:val="22"/>
      <w:lang w:eastAsia="zh-CN"/>
    </w:rPr>
  </w:style>
  <w:style w:type="paragraph" w:customStyle="1" w:styleId="00BodyText">
    <w:name w:val="00 BodyText"/>
    <w:basedOn w:val="Normal"/>
    <w:rsid w:val="00EA69EC"/>
    <w:pPr>
      <w:spacing w:after="220"/>
    </w:pPr>
    <w:rPr>
      <w:rFonts w:ascii="Arial" w:hAnsi="Arial"/>
      <w:sz w:val="22"/>
    </w:rPr>
  </w:style>
  <w:style w:type="paragraph" w:customStyle="1" w:styleId="11BodyText">
    <w:name w:val="11 BodyText"/>
    <w:basedOn w:val="Normal"/>
    <w:rsid w:val="00EA69EC"/>
    <w:pPr>
      <w:spacing w:after="220"/>
      <w:ind w:left="1298"/>
    </w:pPr>
    <w:rPr>
      <w:rFonts w:ascii="Arial" w:hAnsi="Arial"/>
      <w:sz w:val="22"/>
    </w:rPr>
  </w:style>
  <w:style w:type="paragraph" w:customStyle="1" w:styleId="table">
    <w:name w:val="table"/>
    <w:basedOn w:val="text"/>
    <w:next w:val="text"/>
    <w:rsid w:val="00EA69EC"/>
    <w:pPr>
      <w:spacing w:after="0"/>
      <w:jc w:val="center"/>
    </w:pPr>
    <w:rPr>
      <w:sz w:val="20"/>
    </w:rPr>
  </w:style>
  <w:style w:type="paragraph" w:styleId="Caption">
    <w:name w:val="caption"/>
    <w:aliases w:val="cap"/>
    <w:basedOn w:val="Normal"/>
    <w:next w:val="Normal"/>
    <w:qFormat/>
    <w:rsid w:val="00EA69EC"/>
    <w:pPr>
      <w:spacing w:before="120" w:after="120"/>
    </w:pPr>
    <w:rPr>
      <w:b/>
      <w:bCs/>
    </w:rPr>
  </w:style>
  <w:style w:type="paragraph" w:customStyle="1" w:styleId="bodyCharCharChar">
    <w:name w:val="body Char Char Char"/>
    <w:basedOn w:val="Normal"/>
    <w:rsid w:val="00EA69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EA69EC"/>
    <w:pPr>
      <w:spacing w:after="120"/>
      <w:jc w:val="both"/>
    </w:pPr>
    <w:rPr>
      <w:rFonts w:ascii="Times" w:hAnsi="Times"/>
      <w:szCs w:val="24"/>
    </w:rPr>
  </w:style>
  <w:style w:type="paragraph" w:styleId="BodyText2">
    <w:name w:val="Body Text 2"/>
    <w:basedOn w:val="Normal"/>
    <w:rsid w:val="00EA69EC"/>
    <w:pPr>
      <w:tabs>
        <w:tab w:val="left" w:pos="1985"/>
      </w:tabs>
      <w:spacing w:after="0"/>
      <w:jc w:val="both"/>
    </w:pPr>
    <w:rPr>
      <w:rFonts w:ascii="Arial" w:hAnsi="Arial"/>
      <w:sz w:val="22"/>
    </w:rPr>
  </w:style>
  <w:style w:type="character" w:customStyle="1" w:styleId="Heading1Char">
    <w:name w:val="Heading 1 Char"/>
    <w:rsid w:val="00EA69EC"/>
    <w:rPr>
      <w:rFonts w:ascii="Arial" w:hAnsi="Arial"/>
      <w:sz w:val="36"/>
      <w:lang w:val="en-GB" w:eastAsia="en-US" w:bidi="ar-SA"/>
    </w:rPr>
  </w:style>
  <w:style w:type="paragraph" w:customStyle="1" w:styleId="body">
    <w:name w:val="body"/>
    <w:basedOn w:val="Normal"/>
    <w:rsid w:val="00EA69EC"/>
    <w:pPr>
      <w:tabs>
        <w:tab w:val="left" w:pos="2160"/>
      </w:tabs>
      <w:spacing w:before="120" w:after="120" w:line="280" w:lineRule="atLeast"/>
      <w:jc w:val="both"/>
    </w:pPr>
    <w:rPr>
      <w:rFonts w:ascii="New York" w:hAnsi="New York"/>
      <w:sz w:val="24"/>
    </w:rPr>
  </w:style>
  <w:style w:type="table" w:styleId="TableGrid">
    <w:name w:val="Table Grid"/>
    <w:basedOn w:val="TableNormal"/>
    <w:rsid w:val="00EA69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A69EC"/>
  </w:style>
  <w:style w:type="character" w:styleId="CommentReference">
    <w:name w:val="annotation reference"/>
    <w:uiPriority w:val="99"/>
    <w:semiHidden/>
    <w:rsid w:val="00EA69EC"/>
    <w:rPr>
      <w:sz w:val="16"/>
      <w:szCs w:val="16"/>
    </w:rPr>
  </w:style>
  <w:style w:type="paragraph" w:styleId="CommentText">
    <w:name w:val="annotation text"/>
    <w:basedOn w:val="Normal"/>
    <w:link w:val="CommentTextChar"/>
    <w:uiPriority w:val="99"/>
    <w:rsid w:val="00EA69EC"/>
    <w:rPr>
      <w:lang w:eastAsia="x-none"/>
    </w:rPr>
  </w:style>
  <w:style w:type="paragraph" w:styleId="CommentSubject">
    <w:name w:val="annotation subject"/>
    <w:basedOn w:val="CommentText"/>
    <w:next w:val="CommentText"/>
    <w:semiHidden/>
    <w:rsid w:val="00EA69EC"/>
    <w:rPr>
      <w:b/>
      <w:bCs/>
    </w:rPr>
  </w:style>
  <w:style w:type="paragraph" w:styleId="BalloonText">
    <w:name w:val="Balloon Text"/>
    <w:basedOn w:val="Normal"/>
    <w:semiHidden/>
    <w:rsid w:val="00EA69EC"/>
    <w:rPr>
      <w:rFonts w:ascii="Tahoma" w:hAnsi="Tahoma" w:cs="Tahoma"/>
      <w:sz w:val="16"/>
      <w:szCs w:val="16"/>
    </w:rPr>
  </w:style>
  <w:style w:type="paragraph" w:customStyle="1" w:styleId="CRCoverPage">
    <w:name w:val="CR Cover Page"/>
    <w:rsid w:val="00EA69EC"/>
    <w:pPr>
      <w:spacing w:after="120"/>
    </w:pPr>
    <w:rPr>
      <w:rFonts w:ascii="Arial" w:eastAsia="MS Mincho" w:hAnsi="Arial"/>
      <w:lang w:val="en-GB" w:eastAsia="en-US"/>
    </w:rPr>
  </w:style>
  <w:style w:type="character" w:customStyle="1" w:styleId="Heading1Char1">
    <w:name w:val="Heading 1 Char1"/>
    <w:link w:val="Heading1"/>
    <w:rsid w:val="00EA69EC"/>
    <w:rPr>
      <w:rFonts w:ascii="Arial" w:hAnsi="Arial"/>
      <w:sz w:val="36"/>
      <w:lang w:val="en-GB" w:eastAsia="en-US"/>
    </w:rPr>
  </w:style>
  <w:style w:type="character" w:customStyle="1" w:styleId="Heading2Char">
    <w:name w:val="Heading 2 Char"/>
    <w:link w:val="Heading2"/>
    <w:rsid w:val="00EA69EC"/>
    <w:rPr>
      <w:rFonts w:ascii="Arial" w:hAnsi="Arial"/>
      <w:sz w:val="32"/>
      <w:lang w:val="en-GB" w:eastAsia="en-US"/>
    </w:rPr>
  </w:style>
  <w:style w:type="character" w:customStyle="1" w:styleId="Heading3Char">
    <w:name w:val="Heading 3 Char"/>
    <w:link w:val="Heading3"/>
    <w:rsid w:val="00EA69EC"/>
    <w:rPr>
      <w:rFonts w:ascii="Arial" w:hAnsi="Arial"/>
      <w:sz w:val="28"/>
      <w:lang w:val="en-GB" w:eastAsia="en-US"/>
    </w:rPr>
  </w:style>
  <w:style w:type="character" w:customStyle="1" w:styleId="Heading4Char">
    <w:name w:val="Heading 4 Char"/>
    <w:aliases w:val="h4 Char"/>
    <w:link w:val="Heading4"/>
    <w:rsid w:val="00EA69EC"/>
    <w:rPr>
      <w:rFonts w:ascii="Arial" w:hAnsi="Arial"/>
      <w:sz w:val="24"/>
      <w:lang w:val="en-GB" w:eastAsia="en-US"/>
    </w:rPr>
  </w:style>
  <w:style w:type="character" w:customStyle="1" w:styleId="Heading5Char">
    <w:name w:val="Heading 5 Char"/>
    <w:link w:val="Heading5"/>
    <w:rsid w:val="00EA69EC"/>
    <w:rPr>
      <w:rFonts w:ascii="Arial" w:hAnsi="Arial"/>
      <w:sz w:val="22"/>
      <w:lang w:val="en-GB" w:eastAsia="en-US"/>
    </w:rPr>
  </w:style>
  <w:style w:type="character" w:customStyle="1" w:styleId="CharChar3">
    <w:name w:val="Char Char3"/>
    <w:rsid w:val="00EA69EC"/>
    <w:rPr>
      <w:rFonts w:ascii="Arial" w:hAnsi="Arial"/>
      <w:sz w:val="36"/>
      <w:lang w:val="en-GB" w:eastAsia="en-US" w:bidi="ar-SA"/>
    </w:rPr>
  </w:style>
  <w:style w:type="character" w:customStyle="1" w:styleId="CharChar2">
    <w:name w:val="Char Char2"/>
    <w:rsid w:val="00EA69EC"/>
    <w:rPr>
      <w:rFonts w:ascii="Arial" w:hAnsi="Arial"/>
      <w:sz w:val="32"/>
      <w:lang w:val="en-GB" w:eastAsia="en-US" w:bidi="ar-SA"/>
    </w:rPr>
  </w:style>
  <w:style w:type="character" w:customStyle="1" w:styleId="CharChar1">
    <w:name w:val="Char Char1"/>
    <w:rsid w:val="00EA69EC"/>
    <w:rPr>
      <w:rFonts w:ascii="Arial" w:hAnsi="Arial"/>
      <w:sz w:val="28"/>
      <w:lang w:val="en-GB" w:eastAsia="en-US" w:bidi="ar-SA"/>
    </w:rPr>
  </w:style>
  <w:style w:type="character" w:customStyle="1" w:styleId="h4CharChar">
    <w:name w:val="h4 Char Char"/>
    <w:rsid w:val="00EA69EC"/>
    <w:rPr>
      <w:rFonts w:ascii="Arial" w:hAnsi="Arial"/>
      <w:sz w:val="24"/>
      <w:lang w:val="en-GB" w:eastAsia="en-US" w:bidi="ar-SA"/>
    </w:rPr>
  </w:style>
  <w:style w:type="character" w:customStyle="1" w:styleId="CharChar">
    <w:name w:val="Char Char"/>
    <w:rsid w:val="00EA69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EA69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EA69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EA69EC"/>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EA69EC"/>
    <w:rPr>
      <w:rFonts w:ascii="Cambria" w:eastAsia="Times New Roman" w:hAnsi="Cambria"/>
      <w:sz w:val="24"/>
      <w:szCs w:val="24"/>
      <w:lang w:eastAsia="x-none"/>
    </w:rPr>
  </w:style>
  <w:style w:type="paragraph" w:styleId="Revision">
    <w:name w:val="Revision"/>
    <w:hidden/>
    <w:uiPriority w:val="99"/>
    <w:semiHidden/>
    <w:rsid w:val="00EA69EC"/>
    <w:rPr>
      <w:rFonts w:ascii="Times New Roman" w:hAnsi="Times New Roman"/>
      <w:lang w:val="en-GB" w:eastAsia="en-US"/>
    </w:rPr>
  </w:style>
  <w:style w:type="paragraph" w:styleId="NormalWeb">
    <w:name w:val="Normal (Web)"/>
    <w:basedOn w:val="Normal"/>
    <w:uiPriority w:val="99"/>
    <w:unhideWhenUsed/>
    <w:rsid w:val="00EA69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EA69EC"/>
    <w:rPr>
      <w:rFonts w:ascii="Times New Roman" w:hAnsi="Times New Roman"/>
      <w:lang w:eastAsia="x-none"/>
    </w:rPr>
  </w:style>
  <w:style w:type="character" w:styleId="PlaceholderText">
    <w:name w:val="Placeholder Text"/>
    <w:uiPriority w:val="99"/>
    <w:semiHidden/>
    <w:rsid w:val="00EA69EC"/>
    <w:rPr>
      <w:color w:val="808080"/>
    </w:rPr>
  </w:style>
  <w:style w:type="character" w:styleId="Hyperlink">
    <w:name w:val="Hyperlink"/>
    <w:rsid w:val="00EA69EC"/>
    <w:rPr>
      <w:color w:val="0000FF"/>
      <w:u w:val="single"/>
    </w:rPr>
  </w:style>
  <w:style w:type="character" w:styleId="FollowedHyperlink">
    <w:name w:val="FollowedHyperlink"/>
    <w:rsid w:val="00EA69EC"/>
    <w:rPr>
      <w:color w:val="800080"/>
      <w:u w:val="single"/>
    </w:rPr>
  </w:style>
  <w:style w:type="table" w:styleId="DarkList-Accent6">
    <w:name w:val="Dark List Accent 6"/>
    <w:basedOn w:val="TableNormal"/>
    <w:uiPriority w:val="70"/>
    <w:rsid w:val="00EA69E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EA69EC"/>
    <w:rPr>
      <w:rFonts w:ascii="Arial" w:hAnsi="Arial"/>
      <w:b/>
      <w:i/>
      <w:noProof/>
      <w:sz w:val="18"/>
      <w:lang w:eastAsia="en-US"/>
    </w:rPr>
  </w:style>
  <w:style w:type="paragraph" w:customStyle="1" w:styleId="Doc-text2">
    <w:name w:val="Doc-text2"/>
    <w:basedOn w:val="Normal"/>
    <w:link w:val="Doc-text2Char"/>
    <w:qFormat/>
    <w:rsid w:val="00EA69E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A69EC"/>
    <w:rPr>
      <w:rFonts w:ascii="Arial" w:eastAsia="MS Mincho" w:hAnsi="Arial"/>
      <w:szCs w:val="24"/>
      <w:lang w:eastAsia="en-GB"/>
    </w:rPr>
  </w:style>
  <w:style w:type="character" w:customStyle="1" w:styleId="TALCar">
    <w:name w:val="TAL Car"/>
    <w:rsid w:val="00EA69EC"/>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
    <w:link w:val="ListParagraph"/>
    <w:uiPriority w:val="34"/>
    <w:qFormat/>
    <w:locked/>
    <w:rsid w:val="0015481D"/>
    <w:rPr>
      <w:rFonts w:ascii="Calibri" w:eastAsia="Calibri" w:hAnsi="Calibri"/>
      <w:sz w:val="22"/>
      <w:szCs w:val="22"/>
      <w:lang w:eastAsia="en-US"/>
    </w:rPr>
  </w:style>
  <w:style w:type="paragraph" w:customStyle="1" w:styleId="Default">
    <w:name w:val="Default"/>
    <w:rsid w:val="00BD32B0"/>
    <w:pPr>
      <w:autoSpaceDE w:val="0"/>
      <w:autoSpaceDN w:val="0"/>
      <w:adjustRightInd w:val="0"/>
    </w:pPr>
    <w:rPr>
      <w:rFonts w:ascii="Times New Roman" w:hAnsi="Times New Roman"/>
      <w:color w:val="000000"/>
      <w:sz w:val="24"/>
      <w:szCs w:val="24"/>
    </w:rPr>
  </w:style>
  <w:style w:type="character" w:customStyle="1" w:styleId="BodyTextChar">
    <w:name w:val="Body Text Char"/>
    <w:aliases w:val="bt Char"/>
    <w:basedOn w:val="DefaultParagraphFont"/>
    <w:link w:val="BodyText"/>
    <w:rsid w:val="00D830A1"/>
    <w:rPr>
      <w:rFonts w:ascii="Times" w:hAnsi="Times"/>
      <w:szCs w:val="24"/>
      <w:lang w:eastAsia="en-US"/>
    </w:rPr>
  </w:style>
  <w:style w:type="character" w:customStyle="1" w:styleId="THChar">
    <w:name w:val="TH Char"/>
    <w:link w:val="TH"/>
    <w:locked/>
    <w:rsid w:val="00983416"/>
    <w:rPr>
      <w:rFonts w:ascii="Arial" w:hAnsi="Arial"/>
      <w:b/>
      <w:lang w:eastAsia="en-US"/>
    </w:rPr>
  </w:style>
  <w:style w:type="paragraph" w:customStyle="1" w:styleId="References">
    <w:name w:val="References"/>
    <w:basedOn w:val="Normal"/>
    <w:rsid w:val="00011CA1"/>
    <w:pPr>
      <w:numPr>
        <w:ilvl w:val="2"/>
        <w:numId w:val="35"/>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492A1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2A15"/>
    <w:rPr>
      <w:rFonts w:ascii="Times New Roman" w:eastAsia="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015261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81276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27683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5596802">
      <w:bodyDiv w:val="1"/>
      <w:marLeft w:val="0"/>
      <w:marRight w:val="0"/>
      <w:marTop w:val="0"/>
      <w:marBottom w:val="0"/>
      <w:divBdr>
        <w:top w:val="none" w:sz="0" w:space="0" w:color="auto"/>
        <w:left w:val="none" w:sz="0" w:space="0" w:color="auto"/>
        <w:bottom w:val="none" w:sz="0" w:space="0" w:color="auto"/>
        <w:right w:val="none" w:sz="0" w:space="0" w:color="auto"/>
      </w:divBdr>
    </w:div>
    <w:div w:id="36248043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177993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1476700">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831618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3315802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15137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34264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1839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23341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602EA"/>
    <w:rsid w:val="001530CB"/>
    <w:rsid w:val="00161CEF"/>
    <w:rsid w:val="00181842"/>
    <w:rsid w:val="001824B7"/>
    <w:rsid w:val="001C3E54"/>
    <w:rsid w:val="00265918"/>
    <w:rsid w:val="002B2153"/>
    <w:rsid w:val="002C1D0B"/>
    <w:rsid w:val="003015E3"/>
    <w:rsid w:val="004039AF"/>
    <w:rsid w:val="00445E94"/>
    <w:rsid w:val="004A3409"/>
    <w:rsid w:val="004B0978"/>
    <w:rsid w:val="004B3244"/>
    <w:rsid w:val="005C3EED"/>
    <w:rsid w:val="00603DCC"/>
    <w:rsid w:val="0068518C"/>
    <w:rsid w:val="006F6C3B"/>
    <w:rsid w:val="00704620"/>
    <w:rsid w:val="00714A39"/>
    <w:rsid w:val="007A6F58"/>
    <w:rsid w:val="0084475B"/>
    <w:rsid w:val="00851130"/>
    <w:rsid w:val="008A16DB"/>
    <w:rsid w:val="009639FA"/>
    <w:rsid w:val="00A24417"/>
    <w:rsid w:val="00A519C0"/>
    <w:rsid w:val="00AB4C50"/>
    <w:rsid w:val="00AC1D4C"/>
    <w:rsid w:val="00B663C6"/>
    <w:rsid w:val="00B74A67"/>
    <w:rsid w:val="00B87B87"/>
    <w:rsid w:val="00BB0E8E"/>
    <w:rsid w:val="00C21A08"/>
    <w:rsid w:val="00C2201F"/>
    <w:rsid w:val="00C32A45"/>
    <w:rsid w:val="00C509B2"/>
    <w:rsid w:val="00C7504E"/>
    <w:rsid w:val="00CB3144"/>
    <w:rsid w:val="00CB79A0"/>
    <w:rsid w:val="00CE55C9"/>
    <w:rsid w:val="00E154B1"/>
    <w:rsid w:val="00E5265B"/>
    <w:rsid w:val="00F7166F"/>
    <w:rsid w:val="00F77836"/>
    <w:rsid w:val="00FA46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16DD4BD-3827-40AE-91BC-163153D479F4}">
  <ds:schemaRefs>
    <ds:schemaRef ds:uri="http://schemas.openxmlformats.org/officeDocument/2006/bibliography"/>
  </ds:schemaRefs>
</ds:datastoreItem>
</file>

<file path=customXml/itemProps5.xml><?xml version="1.0" encoding="utf-8"?>
<ds:datastoreItem xmlns:ds="http://schemas.openxmlformats.org/officeDocument/2006/customXml" ds:itemID="{74629661-9BE3-4E2D-9A06-510F541C9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52</TotalTime>
  <Pages>4</Pages>
  <Words>1467</Words>
  <Characters>6931</Characters>
  <Application>Microsoft Office Word</Application>
  <DocSecurity>0</DocSecurity>
  <Lines>125</Lines>
  <Paragraphs>59</Paragraphs>
  <ScaleCrop>false</ScaleCrop>
  <HeadingPairs>
    <vt:vector size="2" baseType="variant">
      <vt:variant>
        <vt:lpstr>Title</vt:lpstr>
      </vt:variant>
      <vt:variant>
        <vt:i4>1</vt:i4>
      </vt:variant>
    </vt:vector>
  </HeadingPairs>
  <TitlesOfParts>
    <vt:vector size="1" baseType="lpstr">
      <vt:lpstr>Discussion on L1 Data Rate</vt:lpstr>
    </vt:vector>
  </TitlesOfParts>
  <Company>Intel</Company>
  <LinksUpToDate>false</LinksUpToDate>
  <CharactersWithSpaces>8394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L1 Data Rate</dc:title>
  <dc:subject>R1-1804682</dc:subject>
  <dc:creator>Lee, Daewon</dc:creator>
  <cp:keywords>CTPClassification=CTP_PUBLIC:VisualMarkings=, CTPClassification=CTP_NT</cp:keywords>
  <dc:description>Sanya, China, April 16 - 20, 2018</dc:description>
  <cp:lastModifiedBy>Lee, Daewon</cp:lastModifiedBy>
  <cp:revision>39</cp:revision>
  <cp:lastPrinted>2011-11-09T22:49:00Z</cp:lastPrinted>
  <dcterms:created xsi:type="dcterms:W3CDTF">2018-02-17T01:21:00Z</dcterms:created>
  <dcterms:modified xsi:type="dcterms:W3CDTF">2018-04-07T00:34:00Z</dcterms:modified>
  <cp:category>#92bis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2c53021c-6a58-4d52-b4db-63119bf1885b</vt:lpwstr>
  </property>
  <property fmtid="{D5CDD505-2E9C-101B-9397-08002B2CF9AE}" pid="4" name="CTP_TimeStamp">
    <vt:lpwstr>2018-04-07 00:34:56Z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